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DB" w:rsidRDefault="00461DDB" w:rsidP="00461DDB">
      <w:pPr>
        <w:spacing w:after="0" w:line="240" w:lineRule="auto"/>
      </w:pPr>
    </w:p>
    <w:p w:rsidR="00074409" w:rsidRPr="00F90460" w:rsidRDefault="00415F70" w:rsidP="005F6922">
      <w:pPr>
        <w:ind w:left="-270"/>
        <w:rPr>
          <w:b/>
          <w:sz w:val="28"/>
          <w:szCs w:val="28"/>
        </w:rPr>
      </w:pPr>
      <w:r w:rsidRPr="00F90460">
        <w:rPr>
          <w:b/>
          <w:sz w:val="28"/>
          <w:szCs w:val="28"/>
        </w:rPr>
        <w:t xml:space="preserve">Anticipated </w:t>
      </w:r>
      <w:r w:rsidR="00B91C47" w:rsidRPr="00F90460">
        <w:rPr>
          <w:b/>
          <w:sz w:val="28"/>
          <w:szCs w:val="28"/>
        </w:rPr>
        <w:t>p</w:t>
      </w:r>
      <w:r w:rsidRPr="00F90460">
        <w:rPr>
          <w:b/>
          <w:sz w:val="28"/>
          <w:szCs w:val="28"/>
        </w:rPr>
        <w:t>ublications</w:t>
      </w:r>
      <w:r w:rsidR="00B91C47" w:rsidRPr="00F90460">
        <w:rPr>
          <w:b/>
          <w:sz w:val="28"/>
          <w:szCs w:val="28"/>
        </w:rPr>
        <w:t xml:space="preserve"> related to the </w:t>
      </w:r>
      <w:r w:rsidRPr="00F90460">
        <w:rPr>
          <w:b/>
          <w:sz w:val="28"/>
          <w:szCs w:val="28"/>
        </w:rPr>
        <w:t>Twin Birch Farm</w:t>
      </w:r>
      <w:r w:rsidR="00D223F6">
        <w:rPr>
          <w:b/>
          <w:sz w:val="28"/>
          <w:szCs w:val="28"/>
        </w:rPr>
        <w:t xml:space="preserve"> (Objective 2)</w:t>
      </w:r>
    </w:p>
    <w:tbl>
      <w:tblPr>
        <w:tblStyle w:val="TableGrid"/>
        <w:tblW w:w="10368" w:type="dxa"/>
        <w:tblInd w:w="-162" w:type="dxa"/>
        <w:tblLayout w:type="fixed"/>
        <w:tblLook w:val="04A0" w:firstRow="1" w:lastRow="0" w:firstColumn="1" w:lastColumn="0" w:noHBand="0" w:noVBand="1"/>
      </w:tblPr>
      <w:tblGrid>
        <w:gridCol w:w="2070"/>
        <w:gridCol w:w="2880"/>
        <w:gridCol w:w="2070"/>
        <w:gridCol w:w="1350"/>
        <w:gridCol w:w="1998"/>
      </w:tblGrid>
      <w:tr w:rsidR="005F6922" w:rsidTr="004E7B25">
        <w:tc>
          <w:tcPr>
            <w:tcW w:w="2070" w:type="dxa"/>
          </w:tcPr>
          <w:p w:rsidR="005F6922" w:rsidRPr="005F6922" w:rsidRDefault="005F6922" w:rsidP="005F6922">
            <w:pPr>
              <w:jc w:val="center"/>
              <w:rPr>
                <w:b/>
                <w:sz w:val="24"/>
                <w:szCs w:val="24"/>
              </w:rPr>
            </w:pPr>
            <w:r w:rsidRPr="005F6922">
              <w:rPr>
                <w:b/>
                <w:sz w:val="24"/>
                <w:szCs w:val="24"/>
              </w:rPr>
              <w:t>Title</w:t>
            </w:r>
          </w:p>
        </w:tc>
        <w:tc>
          <w:tcPr>
            <w:tcW w:w="2880" w:type="dxa"/>
          </w:tcPr>
          <w:p w:rsidR="005F6922" w:rsidRPr="005F6922" w:rsidRDefault="005F6922" w:rsidP="00415F70">
            <w:pPr>
              <w:rPr>
                <w:b/>
                <w:sz w:val="24"/>
                <w:szCs w:val="24"/>
              </w:rPr>
            </w:pPr>
            <w:r w:rsidRPr="005F6922">
              <w:rPr>
                <w:b/>
                <w:sz w:val="24"/>
                <w:szCs w:val="24"/>
              </w:rPr>
              <w:t>Authors</w:t>
            </w:r>
          </w:p>
        </w:tc>
        <w:tc>
          <w:tcPr>
            <w:tcW w:w="2070" w:type="dxa"/>
          </w:tcPr>
          <w:p w:rsidR="005F6922" w:rsidRPr="005F6922" w:rsidRDefault="005F6922" w:rsidP="00415F70">
            <w:pPr>
              <w:rPr>
                <w:b/>
                <w:sz w:val="24"/>
                <w:szCs w:val="24"/>
              </w:rPr>
            </w:pPr>
            <w:r>
              <w:rPr>
                <w:b/>
                <w:sz w:val="24"/>
                <w:szCs w:val="24"/>
              </w:rPr>
              <w:t>Objective</w:t>
            </w:r>
          </w:p>
        </w:tc>
        <w:tc>
          <w:tcPr>
            <w:tcW w:w="1350" w:type="dxa"/>
          </w:tcPr>
          <w:p w:rsidR="005F6922" w:rsidRPr="005F6922" w:rsidRDefault="005F6922" w:rsidP="00415F70">
            <w:pPr>
              <w:rPr>
                <w:b/>
                <w:sz w:val="24"/>
                <w:szCs w:val="24"/>
              </w:rPr>
            </w:pPr>
            <w:r>
              <w:rPr>
                <w:b/>
                <w:sz w:val="24"/>
                <w:szCs w:val="24"/>
              </w:rPr>
              <w:t>Journal</w:t>
            </w:r>
          </w:p>
        </w:tc>
        <w:tc>
          <w:tcPr>
            <w:tcW w:w="1998" w:type="dxa"/>
          </w:tcPr>
          <w:p w:rsidR="005F6922" w:rsidRPr="005F6922" w:rsidRDefault="005F6922" w:rsidP="0056196F">
            <w:pPr>
              <w:rPr>
                <w:b/>
                <w:sz w:val="24"/>
                <w:szCs w:val="24"/>
              </w:rPr>
            </w:pPr>
            <w:r>
              <w:rPr>
                <w:b/>
                <w:sz w:val="24"/>
                <w:szCs w:val="24"/>
              </w:rPr>
              <w:t>Anticipated Date</w:t>
            </w:r>
          </w:p>
        </w:tc>
      </w:tr>
      <w:tr w:rsidR="005F6922" w:rsidTr="004E7B25">
        <w:tc>
          <w:tcPr>
            <w:tcW w:w="2070" w:type="dxa"/>
          </w:tcPr>
          <w:p w:rsidR="005F6922" w:rsidRPr="005D53FB" w:rsidRDefault="00EB12F3" w:rsidP="00415F70">
            <w:pPr>
              <w:rPr>
                <w:sz w:val="18"/>
                <w:szCs w:val="18"/>
              </w:rPr>
            </w:pPr>
            <w:r w:rsidRPr="005D53FB">
              <w:rPr>
                <w:i/>
                <w:sz w:val="18"/>
                <w:szCs w:val="18"/>
              </w:rPr>
              <w:t>Comparison of process-based models to quantify nutrient flows and greenhouse gas emissions of milk production</w:t>
            </w:r>
          </w:p>
        </w:tc>
        <w:tc>
          <w:tcPr>
            <w:tcW w:w="2880" w:type="dxa"/>
          </w:tcPr>
          <w:p w:rsidR="005F6922" w:rsidRPr="005D53FB" w:rsidRDefault="00EB12F3" w:rsidP="00EB12F3">
            <w:pPr>
              <w:rPr>
                <w:sz w:val="18"/>
                <w:szCs w:val="18"/>
              </w:rPr>
            </w:pPr>
            <w:r w:rsidRPr="005D53FB">
              <w:rPr>
                <w:sz w:val="18"/>
                <w:szCs w:val="18"/>
              </w:rPr>
              <w:t>Karin Veltman1, Curtis Jones2, Richard Gaillard3, Prathamesh Avadhut Bandekar4, Sebastian Cela5, Larry Chase6, Benjamin Duval3, Cesar Izaurralde2, Quirine M. Ketterings5, Changsheng Li7,8, Marty Matlock4, Al Rotz9, William Salas8, Peter Vadas3, Olivier Jolliet1</w:t>
            </w:r>
          </w:p>
        </w:tc>
        <w:tc>
          <w:tcPr>
            <w:tcW w:w="2070" w:type="dxa"/>
          </w:tcPr>
          <w:p w:rsidR="005F6922" w:rsidRPr="005D53FB" w:rsidRDefault="00524BE7" w:rsidP="00524BE7">
            <w:pPr>
              <w:rPr>
                <w:sz w:val="18"/>
                <w:szCs w:val="18"/>
              </w:rPr>
            </w:pPr>
            <w:r w:rsidRPr="005D53FB">
              <w:rPr>
                <w:rFonts w:ascii="Calibri" w:eastAsia="Times New Roman" w:hAnsi="Calibri" w:cs="Times New Roman"/>
                <w:color w:val="000000"/>
                <w:sz w:val="18"/>
                <w:szCs w:val="18"/>
              </w:rPr>
              <w:t xml:space="preserve">Process model comparison and identification of key needs </w:t>
            </w:r>
          </w:p>
        </w:tc>
        <w:tc>
          <w:tcPr>
            <w:tcW w:w="1350" w:type="dxa"/>
          </w:tcPr>
          <w:p w:rsidR="005F6922" w:rsidRPr="005D53FB" w:rsidRDefault="00EB12F3" w:rsidP="004D6810">
            <w:pPr>
              <w:rPr>
                <w:sz w:val="18"/>
                <w:szCs w:val="18"/>
              </w:rPr>
            </w:pPr>
            <w:r w:rsidRPr="005D53FB">
              <w:rPr>
                <w:sz w:val="18"/>
                <w:szCs w:val="18"/>
              </w:rPr>
              <w:t>Agriculture ecosystem and environment</w:t>
            </w:r>
          </w:p>
        </w:tc>
        <w:tc>
          <w:tcPr>
            <w:tcW w:w="1998" w:type="dxa"/>
          </w:tcPr>
          <w:p w:rsidR="005F6922" w:rsidRDefault="00EB12F3" w:rsidP="0056196F">
            <w:pPr>
              <w:rPr>
                <w:sz w:val="18"/>
                <w:szCs w:val="18"/>
              </w:rPr>
            </w:pPr>
            <w:r w:rsidRPr="00D223F6">
              <w:rPr>
                <w:sz w:val="18"/>
                <w:szCs w:val="18"/>
                <w:highlight w:val="yellow"/>
              </w:rPr>
              <w:t>Submit (July 2015</w:t>
            </w:r>
            <w:r w:rsidR="005F6922" w:rsidRPr="00D223F6">
              <w:rPr>
                <w:sz w:val="18"/>
                <w:szCs w:val="18"/>
                <w:highlight w:val="yellow"/>
              </w:rPr>
              <w:t>)</w:t>
            </w:r>
          </w:p>
          <w:p w:rsidR="00D223F6" w:rsidRDefault="00D223F6" w:rsidP="0056196F">
            <w:pPr>
              <w:rPr>
                <w:sz w:val="18"/>
                <w:szCs w:val="18"/>
              </w:rPr>
            </w:pPr>
          </w:p>
          <w:p w:rsidR="00D223F6" w:rsidRPr="005D53FB" w:rsidRDefault="00D223F6" w:rsidP="0056196F">
            <w:pPr>
              <w:rPr>
                <w:sz w:val="18"/>
                <w:szCs w:val="18"/>
              </w:rPr>
            </w:pPr>
            <w:r w:rsidRPr="00D223F6">
              <w:rPr>
                <w:sz w:val="18"/>
                <w:szCs w:val="18"/>
                <w:highlight w:val="yellow"/>
              </w:rPr>
              <w:t>NOT COMPLETED</w:t>
            </w:r>
          </w:p>
        </w:tc>
      </w:tr>
      <w:tr w:rsidR="00C970D0" w:rsidTr="004E7B25">
        <w:tc>
          <w:tcPr>
            <w:tcW w:w="2070" w:type="dxa"/>
          </w:tcPr>
          <w:p w:rsidR="00C970D0" w:rsidRPr="005D53FB" w:rsidRDefault="00C970D0" w:rsidP="00C970D0">
            <w:pPr>
              <w:rPr>
                <w:i/>
                <w:sz w:val="18"/>
                <w:szCs w:val="18"/>
              </w:rPr>
            </w:pPr>
            <w:r w:rsidRPr="005D53FB">
              <w:rPr>
                <w:i/>
                <w:sz w:val="18"/>
                <w:szCs w:val="18"/>
              </w:rPr>
              <w:t>Evaluating strategies for greenhouse gas mitigation and adaptation to climate change for the Twin birch farm</w:t>
            </w:r>
          </w:p>
          <w:p w:rsidR="00C970D0" w:rsidRPr="005D53FB" w:rsidRDefault="00C970D0" w:rsidP="00C970D0">
            <w:pPr>
              <w:rPr>
                <w:i/>
                <w:sz w:val="18"/>
                <w:szCs w:val="18"/>
              </w:rPr>
            </w:pPr>
          </w:p>
          <w:p w:rsidR="00C970D0" w:rsidRPr="005D53FB" w:rsidRDefault="00C970D0" w:rsidP="00C970D0">
            <w:pPr>
              <w:rPr>
                <w:i/>
                <w:sz w:val="18"/>
                <w:szCs w:val="18"/>
              </w:rPr>
            </w:pPr>
          </w:p>
          <w:p w:rsidR="00C970D0" w:rsidRPr="005D53FB" w:rsidRDefault="00C970D0" w:rsidP="00C970D0">
            <w:pPr>
              <w:rPr>
                <w:b/>
                <w:sz w:val="18"/>
                <w:szCs w:val="18"/>
                <w:u w:val="single"/>
              </w:rPr>
            </w:pPr>
            <w:r w:rsidRPr="005D53FB">
              <w:rPr>
                <w:i/>
                <w:sz w:val="18"/>
                <w:szCs w:val="18"/>
              </w:rPr>
              <w:t>Need to coordinate with Al Rotz publication indicated below</w:t>
            </w:r>
          </w:p>
        </w:tc>
        <w:tc>
          <w:tcPr>
            <w:tcW w:w="2880" w:type="dxa"/>
          </w:tcPr>
          <w:p w:rsidR="004E7B25" w:rsidRPr="005D53FB" w:rsidRDefault="00C970D0" w:rsidP="004E7B25">
            <w:pPr>
              <w:rPr>
                <w:sz w:val="18"/>
                <w:szCs w:val="18"/>
              </w:rPr>
            </w:pPr>
            <w:r w:rsidRPr="005D53FB">
              <w:rPr>
                <w:sz w:val="18"/>
                <w:szCs w:val="18"/>
              </w:rPr>
              <w:t xml:space="preserve">Karin Veltman1, Curtis Jones2, Richard Gaillard3, Prathamesh Avadhut Bandekar4, Larry Chase6, Cesar Izaurralde2, Changsheng Li7,8, Marty Matlock4, Al Rotz9, William Salas8, Peter Vadas3, </w:t>
            </w:r>
            <w:r w:rsidR="004E7B25" w:rsidRPr="005D53FB">
              <w:rPr>
                <w:sz w:val="20"/>
                <w:szCs w:val="20"/>
              </w:rPr>
              <w:t>Forest, Nicholas</w:t>
            </w:r>
            <w:r w:rsidR="004E7B25" w:rsidRPr="005D53FB">
              <w:rPr>
                <w:sz w:val="18"/>
                <w:szCs w:val="18"/>
              </w:rPr>
              <w:t xml:space="preserve"> </w:t>
            </w:r>
          </w:p>
          <w:p w:rsidR="00C970D0" w:rsidRPr="005D53FB" w:rsidRDefault="00C970D0" w:rsidP="004E7B25">
            <w:pPr>
              <w:rPr>
                <w:b/>
                <w:sz w:val="18"/>
                <w:szCs w:val="18"/>
                <w:u w:val="single"/>
              </w:rPr>
            </w:pPr>
            <w:r w:rsidRPr="005D53FB">
              <w:rPr>
                <w:sz w:val="18"/>
                <w:szCs w:val="18"/>
              </w:rPr>
              <w:t>Olivier Jolliet1</w:t>
            </w:r>
            <w:r w:rsidR="004E7B25" w:rsidRPr="005D53FB">
              <w:rPr>
                <w:sz w:val="18"/>
                <w:szCs w:val="18"/>
              </w:rPr>
              <w:t xml:space="preserve"> </w:t>
            </w:r>
          </w:p>
        </w:tc>
        <w:tc>
          <w:tcPr>
            <w:tcW w:w="2070" w:type="dxa"/>
          </w:tcPr>
          <w:p w:rsidR="00C970D0" w:rsidRPr="005D53FB" w:rsidRDefault="00C970D0" w:rsidP="00C56685">
            <w:pPr>
              <w:rPr>
                <w:b/>
                <w:sz w:val="18"/>
                <w:szCs w:val="18"/>
                <w:u w:val="single"/>
              </w:rPr>
            </w:pPr>
            <w:r w:rsidRPr="005D53FB">
              <w:rPr>
                <w:sz w:val="18"/>
                <w:szCs w:val="18"/>
              </w:rPr>
              <w:t xml:space="preserve">Sensitivity study evaluating a series of alternative mitigation scenarios based on the analysis of the present carbon, nitrogen and phosphorus cycle of the NY pilot farm, inclusion of the Climate change scenarios </w:t>
            </w:r>
            <w:r w:rsidR="00C56685" w:rsidRPr="005D53FB">
              <w:rPr>
                <w:sz w:val="18"/>
                <w:szCs w:val="18"/>
              </w:rPr>
              <w:t>and based on proposed BMPs (Matt Ruark)</w:t>
            </w:r>
          </w:p>
        </w:tc>
        <w:tc>
          <w:tcPr>
            <w:tcW w:w="1350" w:type="dxa"/>
          </w:tcPr>
          <w:p w:rsidR="00C970D0" w:rsidRPr="005D53FB" w:rsidRDefault="00C970D0" w:rsidP="00C047DF">
            <w:pPr>
              <w:rPr>
                <w:b/>
                <w:sz w:val="18"/>
                <w:szCs w:val="18"/>
              </w:rPr>
            </w:pPr>
            <w:r w:rsidRPr="005D53FB">
              <w:rPr>
                <w:b/>
                <w:sz w:val="18"/>
                <w:szCs w:val="18"/>
              </w:rPr>
              <w:t>International Dairy Journal</w:t>
            </w:r>
            <w:r w:rsidR="00BD3279" w:rsidRPr="005D53FB">
              <w:rPr>
                <w:b/>
                <w:sz w:val="18"/>
                <w:szCs w:val="18"/>
              </w:rPr>
              <w:t>?</w:t>
            </w:r>
          </w:p>
        </w:tc>
        <w:tc>
          <w:tcPr>
            <w:tcW w:w="1998" w:type="dxa"/>
          </w:tcPr>
          <w:p w:rsidR="00C970D0" w:rsidRDefault="00C970D0" w:rsidP="00C047DF">
            <w:pPr>
              <w:rPr>
                <w:rFonts w:ascii="Calibri" w:eastAsia="Times New Roman" w:hAnsi="Calibri" w:cs="Times New Roman"/>
                <w:color w:val="000000"/>
                <w:sz w:val="18"/>
                <w:szCs w:val="18"/>
              </w:rPr>
            </w:pPr>
            <w:r w:rsidRPr="005D53FB">
              <w:rPr>
                <w:rFonts w:ascii="Calibri" w:eastAsia="Times New Roman" w:hAnsi="Calibri" w:cs="Times New Roman"/>
                <w:color w:val="000000"/>
                <w:sz w:val="18"/>
                <w:szCs w:val="18"/>
              </w:rPr>
              <w:t>28-Jul-15</w:t>
            </w:r>
          </w:p>
          <w:p w:rsidR="00D223F6" w:rsidRDefault="00D223F6" w:rsidP="00C047DF">
            <w:pPr>
              <w:rPr>
                <w:rFonts w:ascii="Calibri" w:eastAsia="Times New Roman" w:hAnsi="Calibri" w:cs="Times New Roman"/>
                <w:color w:val="000000"/>
                <w:sz w:val="18"/>
                <w:szCs w:val="18"/>
              </w:rPr>
            </w:pPr>
          </w:p>
          <w:p w:rsidR="00D223F6" w:rsidRPr="005D53FB" w:rsidRDefault="00D223F6" w:rsidP="00C047DF">
            <w:pPr>
              <w:rPr>
                <w:b/>
                <w:sz w:val="18"/>
                <w:szCs w:val="18"/>
                <w:u w:val="single"/>
              </w:rPr>
            </w:pPr>
          </w:p>
        </w:tc>
      </w:tr>
      <w:tr w:rsidR="00957243" w:rsidTr="004E7B25">
        <w:tc>
          <w:tcPr>
            <w:tcW w:w="2070" w:type="dxa"/>
          </w:tcPr>
          <w:p w:rsidR="00957243" w:rsidRPr="005D53FB" w:rsidRDefault="00957243" w:rsidP="00415F70">
            <w:pPr>
              <w:rPr>
                <w:b/>
                <w:sz w:val="18"/>
                <w:szCs w:val="18"/>
                <w:u w:val="single"/>
              </w:rPr>
            </w:pPr>
            <w:r w:rsidRPr="005D53FB">
              <w:rPr>
                <w:i/>
                <w:sz w:val="18"/>
                <w:szCs w:val="18"/>
              </w:rPr>
              <w:t>Evaluating strategies for greenhouse gas mitigation an adaptation to climate change for a New York dairy farm</w:t>
            </w:r>
          </w:p>
        </w:tc>
        <w:tc>
          <w:tcPr>
            <w:tcW w:w="2880" w:type="dxa"/>
          </w:tcPr>
          <w:p w:rsidR="00957243" w:rsidRPr="005D53FB" w:rsidRDefault="00957243" w:rsidP="00415F70">
            <w:pPr>
              <w:rPr>
                <w:b/>
                <w:sz w:val="18"/>
                <w:szCs w:val="18"/>
                <w:u w:val="single"/>
              </w:rPr>
            </w:pPr>
            <w:r w:rsidRPr="005D53FB">
              <w:rPr>
                <w:sz w:val="18"/>
                <w:szCs w:val="18"/>
              </w:rPr>
              <w:t xml:space="preserve">C. Alan Rotz, R. Howard Skinner, Anne M.K. Stoner, and Katharine </w:t>
            </w:r>
            <w:proofErr w:type="spellStart"/>
            <w:r w:rsidRPr="005D53FB">
              <w:rPr>
                <w:sz w:val="18"/>
                <w:szCs w:val="18"/>
              </w:rPr>
              <w:t>Hayhoe</w:t>
            </w:r>
            <w:proofErr w:type="spellEnd"/>
            <w:r w:rsidRPr="005D53FB">
              <w:rPr>
                <w:sz w:val="18"/>
                <w:szCs w:val="18"/>
              </w:rPr>
              <w:t xml:space="preserve"> (USDA NAA-PWSM)</w:t>
            </w:r>
          </w:p>
        </w:tc>
        <w:tc>
          <w:tcPr>
            <w:tcW w:w="2070" w:type="dxa"/>
          </w:tcPr>
          <w:p w:rsidR="00957243" w:rsidRPr="005D53FB" w:rsidRDefault="00957243" w:rsidP="00415F70">
            <w:pPr>
              <w:rPr>
                <w:b/>
                <w:sz w:val="18"/>
                <w:szCs w:val="18"/>
                <w:u w:val="single"/>
              </w:rPr>
            </w:pPr>
            <w:r w:rsidRPr="005D53FB">
              <w:rPr>
                <w:sz w:val="18"/>
                <w:szCs w:val="18"/>
              </w:rPr>
              <w:t>To demonstrate the use of whole farm and global climate models as useful tools for evaluating greenhouse gas mitigation strategies and strategies for adapting to projected future climate</w:t>
            </w:r>
          </w:p>
        </w:tc>
        <w:tc>
          <w:tcPr>
            <w:tcW w:w="1350" w:type="dxa"/>
          </w:tcPr>
          <w:p w:rsidR="00957243" w:rsidRPr="005D53FB" w:rsidRDefault="00957243" w:rsidP="00415F70">
            <w:pPr>
              <w:rPr>
                <w:b/>
                <w:sz w:val="18"/>
                <w:szCs w:val="18"/>
                <w:u w:val="single"/>
              </w:rPr>
            </w:pPr>
            <w:r w:rsidRPr="005D53FB">
              <w:rPr>
                <w:rFonts w:ascii="Calibri" w:eastAsia="Times New Roman" w:hAnsi="Calibri" w:cs="Times New Roman"/>
                <w:color w:val="000000"/>
                <w:sz w:val="18"/>
                <w:szCs w:val="18"/>
              </w:rPr>
              <w:t>Proceedings of the Dairy Environmental Systems and Climate Adaptation Conference</w:t>
            </w:r>
          </w:p>
        </w:tc>
        <w:tc>
          <w:tcPr>
            <w:tcW w:w="1998" w:type="dxa"/>
          </w:tcPr>
          <w:p w:rsidR="00957243" w:rsidRDefault="00957243" w:rsidP="0056196F">
            <w:pPr>
              <w:rPr>
                <w:rFonts w:ascii="Calibri" w:eastAsia="Times New Roman" w:hAnsi="Calibri" w:cs="Times New Roman"/>
                <w:color w:val="000000"/>
                <w:sz w:val="18"/>
                <w:szCs w:val="18"/>
              </w:rPr>
            </w:pPr>
            <w:r w:rsidRPr="005D53FB">
              <w:rPr>
                <w:rFonts w:ascii="Calibri" w:eastAsia="Times New Roman" w:hAnsi="Calibri" w:cs="Times New Roman"/>
                <w:color w:val="000000"/>
                <w:sz w:val="18"/>
                <w:szCs w:val="18"/>
              </w:rPr>
              <w:t>28-Jul-15</w:t>
            </w:r>
          </w:p>
          <w:p w:rsidR="00D223F6" w:rsidRDefault="00D223F6" w:rsidP="0056196F">
            <w:pPr>
              <w:rPr>
                <w:rFonts w:ascii="Calibri" w:eastAsia="Times New Roman" w:hAnsi="Calibri" w:cs="Times New Roman"/>
                <w:color w:val="000000"/>
                <w:sz w:val="18"/>
                <w:szCs w:val="18"/>
              </w:rPr>
            </w:pPr>
          </w:p>
          <w:p w:rsidR="00D223F6" w:rsidRPr="005D53FB" w:rsidRDefault="00D223F6" w:rsidP="0056196F">
            <w:pPr>
              <w:rPr>
                <w:b/>
                <w:sz w:val="18"/>
                <w:szCs w:val="18"/>
                <w:u w:val="single"/>
              </w:rPr>
            </w:pPr>
            <w:r>
              <w:rPr>
                <w:rFonts w:ascii="Calibri" w:eastAsia="Times New Roman" w:hAnsi="Calibri" w:cs="Times New Roman"/>
                <w:color w:val="000000"/>
                <w:sz w:val="18"/>
                <w:szCs w:val="18"/>
              </w:rPr>
              <w:t>COMPLETED</w:t>
            </w:r>
          </w:p>
        </w:tc>
      </w:tr>
      <w:tr w:rsidR="00C970D0" w:rsidTr="004E7B25">
        <w:tc>
          <w:tcPr>
            <w:tcW w:w="2070" w:type="dxa"/>
          </w:tcPr>
          <w:p w:rsidR="00C970D0" w:rsidRPr="005D53FB" w:rsidRDefault="00C970D0" w:rsidP="00C047DF">
            <w:pPr>
              <w:rPr>
                <w:rFonts w:ascii="Calibri" w:eastAsia="Times New Roman" w:hAnsi="Calibri" w:cs="Times New Roman"/>
                <w:color w:val="000000"/>
                <w:sz w:val="20"/>
                <w:szCs w:val="20"/>
              </w:rPr>
            </w:pPr>
            <w:r w:rsidRPr="005D53FB">
              <w:rPr>
                <w:i/>
                <w:sz w:val="20"/>
                <w:szCs w:val="20"/>
              </w:rPr>
              <w:t>Farm Simulation Can Help Dairy Production Systems Adapt to Climate Change</w:t>
            </w:r>
          </w:p>
        </w:tc>
        <w:tc>
          <w:tcPr>
            <w:tcW w:w="2880" w:type="dxa"/>
          </w:tcPr>
          <w:p w:rsidR="00C970D0" w:rsidRPr="005D53FB" w:rsidRDefault="00C970D0" w:rsidP="00C047DF">
            <w:pPr>
              <w:rPr>
                <w:rFonts w:ascii="Calibri" w:eastAsia="Times New Roman" w:hAnsi="Calibri" w:cs="Times New Roman"/>
                <w:color w:val="000000"/>
                <w:sz w:val="20"/>
                <w:szCs w:val="20"/>
              </w:rPr>
            </w:pPr>
            <w:r w:rsidRPr="005D53FB">
              <w:rPr>
                <w:sz w:val="20"/>
                <w:szCs w:val="20"/>
              </w:rPr>
              <w:t xml:space="preserve">C. Alan Rotz, R. Howard Skinner, Anne M.K. Stoner, and Katharine </w:t>
            </w:r>
            <w:proofErr w:type="spellStart"/>
            <w:r w:rsidRPr="005D53FB">
              <w:rPr>
                <w:sz w:val="20"/>
                <w:szCs w:val="20"/>
              </w:rPr>
              <w:t>Hayhoe</w:t>
            </w:r>
            <w:proofErr w:type="spellEnd"/>
            <w:r w:rsidRPr="005D53FB">
              <w:rPr>
                <w:sz w:val="20"/>
                <w:szCs w:val="20"/>
              </w:rPr>
              <w:t xml:space="preserve"> (USDA NAA-PWSM)</w:t>
            </w:r>
          </w:p>
        </w:tc>
        <w:tc>
          <w:tcPr>
            <w:tcW w:w="2070" w:type="dxa"/>
          </w:tcPr>
          <w:p w:rsidR="00C970D0" w:rsidRPr="005D53FB" w:rsidRDefault="00C970D0" w:rsidP="00C047DF">
            <w:pPr>
              <w:rPr>
                <w:rFonts w:ascii="Calibri" w:eastAsia="Times New Roman" w:hAnsi="Calibri" w:cs="Times New Roman"/>
                <w:color w:val="000000"/>
                <w:sz w:val="20"/>
                <w:szCs w:val="20"/>
              </w:rPr>
            </w:pPr>
            <w:r w:rsidRPr="005D53FB">
              <w:rPr>
                <w:sz w:val="20"/>
                <w:szCs w:val="20"/>
              </w:rPr>
              <w:t>To demonstrate the use of whole farm and global climate models as useful tools for evaluating strategies to adapt dairy farms to projected future climate.</w:t>
            </w:r>
          </w:p>
        </w:tc>
        <w:tc>
          <w:tcPr>
            <w:tcW w:w="1350" w:type="dxa"/>
          </w:tcPr>
          <w:p w:rsidR="00C970D0" w:rsidRPr="005D53FB" w:rsidRDefault="00C970D0" w:rsidP="00C047DF">
            <w:pPr>
              <w:rPr>
                <w:rFonts w:ascii="Calibri" w:eastAsia="Times New Roman" w:hAnsi="Calibri" w:cs="Times New Roman"/>
                <w:color w:val="000000"/>
                <w:sz w:val="20"/>
                <w:szCs w:val="20"/>
              </w:rPr>
            </w:pPr>
            <w:r w:rsidRPr="005D53FB">
              <w:rPr>
                <w:rFonts w:ascii="Calibri" w:eastAsia="Times New Roman" w:hAnsi="Calibri" w:cs="Times New Roman"/>
                <w:color w:val="000000"/>
                <w:sz w:val="20"/>
                <w:szCs w:val="20"/>
              </w:rPr>
              <w:t>Book Chapter</w:t>
            </w:r>
          </w:p>
        </w:tc>
        <w:tc>
          <w:tcPr>
            <w:tcW w:w="1998" w:type="dxa"/>
          </w:tcPr>
          <w:p w:rsidR="00C970D0" w:rsidRPr="005D53FB" w:rsidRDefault="00C970D0" w:rsidP="00C047DF">
            <w:pPr>
              <w:rPr>
                <w:rFonts w:ascii="Calibri" w:eastAsia="Times New Roman" w:hAnsi="Calibri" w:cs="Times New Roman"/>
                <w:color w:val="000000"/>
                <w:sz w:val="20"/>
                <w:szCs w:val="20"/>
              </w:rPr>
            </w:pPr>
            <w:r w:rsidRPr="005D53FB">
              <w:rPr>
                <w:sz w:val="20"/>
                <w:szCs w:val="20"/>
              </w:rPr>
              <w:t>Unknown</w:t>
            </w:r>
          </w:p>
        </w:tc>
      </w:tr>
      <w:tr w:rsidR="00C970D0" w:rsidTr="004E7B25">
        <w:tc>
          <w:tcPr>
            <w:tcW w:w="2070" w:type="dxa"/>
          </w:tcPr>
          <w:p w:rsidR="00C970D0" w:rsidRPr="005D53FB" w:rsidRDefault="00C970D0" w:rsidP="00C047DF">
            <w:pPr>
              <w:rPr>
                <w:b/>
                <w:sz w:val="18"/>
                <w:szCs w:val="18"/>
                <w:u w:val="single"/>
              </w:rPr>
            </w:pPr>
            <w:r w:rsidRPr="005D53FB">
              <w:rPr>
                <w:i/>
                <w:sz w:val="18"/>
                <w:szCs w:val="18"/>
              </w:rPr>
              <w:t>Critical evaluation of process differences and similarities between DAYCENT, APEX, IFSM, DNDC, and CSCPS ( in some combination)</w:t>
            </w:r>
          </w:p>
        </w:tc>
        <w:tc>
          <w:tcPr>
            <w:tcW w:w="2880" w:type="dxa"/>
          </w:tcPr>
          <w:p w:rsidR="00C970D0" w:rsidRPr="005D53FB" w:rsidRDefault="00C970D0" w:rsidP="00C047DF">
            <w:pPr>
              <w:rPr>
                <w:b/>
                <w:sz w:val="18"/>
                <w:szCs w:val="18"/>
                <w:u w:val="single"/>
              </w:rPr>
            </w:pPr>
            <w:r w:rsidRPr="005D53FB">
              <w:rPr>
                <w:sz w:val="18"/>
                <w:szCs w:val="18"/>
              </w:rPr>
              <w:t>Jones (Maryland) Gaillard/Rotz (/USDA – DFRC and NAA-PSWM) (</w:t>
            </w:r>
            <w:proofErr w:type="gramStart"/>
            <w:r w:rsidRPr="005D53FB">
              <w:rPr>
                <w:sz w:val="18"/>
                <w:szCs w:val="18"/>
              </w:rPr>
              <w:t>Others ??</w:t>
            </w:r>
            <w:proofErr w:type="gramEnd"/>
            <w:r w:rsidRPr="005D53FB">
              <w:rPr>
                <w:sz w:val="18"/>
                <w:szCs w:val="18"/>
              </w:rPr>
              <w:t>)</w:t>
            </w:r>
          </w:p>
        </w:tc>
        <w:tc>
          <w:tcPr>
            <w:tcW w:w="2070" w:type="dxa"/>
          </w:tcPr>
          <w:p w:rsidR="00C970D0" w:rsidRPr="005D53FB" w:rsidRDefault="00C970D0" w:rsidP="00C047DF">
            <w:pPr>
              <w:rPr>
                <w:b/>
                <w:sz w:val="18"/>
                <w:szCs w:val="18"/>
                <w:u w:val="single"/>
              </w:rPr>
            </w:pPr>
            <w:r w:rsidRPr="005D53FB">
              <w:rPr>
                <w:sz w:val="18"/>
                <w:szCs w:val="18"/>
              </w:rPr>
              <w:t>Why the models are different</w:t>
            </w:r>
          </w:p>
        </w:tc>
        <w:tc>
          <w:tcPr>
            <w:tcW w:w="1350" w:type="dxa"/>
          </w:tcPr>
          <w:p w:rsidR="00C970D0" w:rsidRPr="005D53FB" w:rsidRDefault="00C970D0" w:rsidP="00C047DF">
            <w:pPr>
              <w:rPr>
                <w:b/>
                <w:sz w:val="18"/>
                <w:szCs w:val="18"/>
                <w:u w:val="single"/>
              </w:rPr>
            </w:pPr>
            <w:r w:rsidRPr="005D53FB">
              <w:rPr>
                <w:b/>
                <w:sz w:val="18"/>
                <w:szCs w:val="18"/>
                <w:u w:val="single"/>
              </w:rPr>
              <w:t>?</w:t>
            </w:r>
          </w:p>
        </w:tc>
        <w:tc>
          <w:tcPr>
            <w:tcW w:w="1998" w:type="dxa"/>
          </w:tcPr>
          <w:p w:rsidR="00C970D0" w:rsidRDefault="00C970D0" w:rsidP="00C047DF">
            <w:pPr>
              <w:rPr>
                <w:sz w:val="18"/>
                <w:szCs w:val="18"/>
              </w:rPr>
            </w:pPr>
            <w:r w:rsidRPr="005D53FB">
              <w:rPr>
                <w:sz w:val="18"/>
                <w:szCs w:val="18"/>
              </w:rPr>
              <w:t>(Aug/Sept.2015)</w:t>
            </w:r>
          </w:p>
          <w:p w:rsidR="00D223F6" w:rsidRDefault="00D223F6" w:rsidP="00C047DF">
            <w:pPr>
              <w:rPr>
                <w:sz w:val="18"/>
                <w:szCs w:val="18"/>
              </w:rPr>
            </w:pPr>
          </w:p>
          <w:p w:rsidR="00D223F6" w:rsidRPr="005D53FB" w:rsidRDefault="00D223F6" w:rsidP="00C047DF">
            <w:pPr>
              <w:rPr>
                <w:sz w:val="18"/>
                <w:szCs w:val="18"/>
                <w:u w:val="single"/>
              </w:rPr>
            </w:pPr>
            <w:r w:rsidRPr="00D223F6">
              <w:rPr>
                <w:sz w:val="18"/>
                <w:szCs w:val="18"/>
                <w:highlight w:val="yellow"/>
              </w:rPr>
              <w:t xml:space="preserve">WAITING FOR RESULTS FROM VELTMAN </w:t>
            </w:r>
            <w:r w:rsidRPr="00D223F6">
              <w:rPr>
                <w:i/>
                <w:sz w:val="18"/>
                <w:szCs w:val="18"/>
                <w:highlight w:val="yellow"/>
              </w:rPr>
              <w:t>et al.</w:t>
            </w:r>
          </w:p>
        </w:tc>
      </w:tr>
    </w:tbl>
    <w:p w:rsidR="00D223F6" w:rsidRDefault="00D223F6">
      <w:r>
        <w:br w:type="page"/>
      </w:r>
    </w:p>
    <w:tbl>
      <w:tblPr>
        <w:tblStyle w:val="TableGrid"/>
        <w:tblW w:w="10368" w:type="dxa"/>
        <w:tblInd w:w="-162" w:type="dxa"/>
        <w:tblLayout w:type="fixed"/>
        <w:tblLook w:val="04A0" w:firstRow="1" w:lastRow="0" w:firstColumn="1" w:lastColumn="0" w:noHBand="0" w:noVBand="1"/>
      </w:tblPr>
      <w:tblGrid>
        <w:gridCol w:w="2070"/>
        <w:gridCol w:w="2880"/>
        <w:gridCol w:w="2070"/>
        <w:gridCol w:w="1350"/>
        <w:gridCol w:w="1998"/>
      </w:tblGrid>
      <w:tr w:rsidR="00C970D0" w:rsidRPr="004E7B25" w:rsidTr="004E7B25">
        <w:tc>
          <w:tcPr>
            <w:tcW w:w="2070" w:type="dxa"/>
          </w:tcPr>
          <w:p w:rsidR="00C970D0" w:rsidRPr="005D53FB" w:rsidRDefault="004E7B25" w:rsidP="004E7B25">
            <w:pPr>
              <w:rPr>
                <w:i/>
                <w:sz w:val="18"/>
                <w:szCs w:val="18"/>
              </w:rPr>
            </w:pPr>
            <w:r w:rsidRPr="005D53FB">
              <w:rPr>
                <w:i/>
                <w:sz w:val="18"/>
                <w:szCs w:val="18"/>
              </w:rPr>
              <w:lastRenderedPageBreak/>
              <w:t xml:space="preserve">Model comparison at a regional level: evaluation of emissions and impacts of milk produce in the State of Wisconsin. </w:t>
            </w:r>
          </w:p>
        </w:tc>
        <w:tc>
          <w:tcPr>
            <w:tcW w:w="2880" w:type="dxa"/>
          </w:tcPr>
          <w:p w:rsidR="004E7B25" w:rsidRPr="005D53FB" w:rsidRDefault="004E7B25" w:rsidP="004E7B25">
            <w:pPr>
              <w:rPr>
                <w:i/>
                <w:sz w:val="18"/>
                <w:szCs w:val="18"/>
              </w:rPr>
            </w:pPr>
            <w:r w:rsidRPr="005D53FB">
              <w:rPr>
                <w:i/>
                <w:sz w:val="18"/>
                <w:szCs w:val="18"/>
              </w:rPr>
              <w:t xml:space="preserve">Karin Veltman1, Curtis Jones2, Richard Gaillard3, Prathamesh Avadhut Bandekar4, Larry Chase6, Cesar Izaurralde2, Changsheng Li7,8, Marty Matlock4, Al Rotz9, William Salas8, Peter Vadas3, Forest, Nicholas </w:t>
            </w:r>
          </w:p>
          <w:p w:rsidR="00C970D0" w:rsidRPr="005D53FB" w:rsidRDefault="004E7B25" w:rsidP="004E7B25">
            <w:pPr>
              <w:rPr>
                <w:i/>
                <w:sz w:val="18"/>
                <w:szCs w:val="18"/>
              </w:rPr>
            </w:pPr>
            <w:r w:rsidRPr="005D53FB">
              <w:rPr>
                <w:i/>
                <w:sz w:val="18"/>
                <w:szCs w:val="18"/>
              </w:rPr>
              <w:t>Olivier Jolliet1</w:t>
            </w:r>
          </w:p>
        </w:tc>
        <w:tc>
          <w:tcPr>
            <w:tcW w:w="2070" w:type="dxa"/>
          </w:tcPr>
          <w:p w:rsidR="00C970D0" w:rsidRPr="005D53FB" w:rsidRDefault="004E7B25" w:rsidP="00415F70">
            <w:pPr>
              <w:rPr>
                <w:i/>
                <w:sz w:val="18"/>
                <w:szCs w:val="18"/>
              </w:rPr>
            </w:pPr>
            <w:r w:rsidRPr="005D53FB">
              <w:rPr>
                <w:i/>
                <w:sz w:val="18"/>
                <w:szCs w:val="18"/>
              </w:rPr>
              <w:t>Each of the modeling team members will develop an approach to apply their model at a regional level for Wisconsin milk production. GHG and N- and P-related emissions per kilogram of milk produced in Wisconsin will be compared between models.</w:t>
            </w:r>
          </w:p>
        </w:tc>
        <w:tc>
          <w:tcPr>
            <w:tcW w:w="1350" w:type="dxa"/>
          </w:tcPr>
          <w:p w:rsidR="003172C5" w:rsidRDefault="003172C5" w:rsidP="003172C5">
            <w:pPr>
              <w:jc w:val="center"/>
              <w:rPr>
                <w:i/>
                <w:sz w:val="18"/>
                <w:szCs w:val="18"/>
              </w:rPr>
            </w:pPr>
          </w:p>
          <w:p w:rsidR="003172C5" w:rsidRDefault="003172C5" w:rsidP="003172C5">
            <w:pPr>
              <w:jc w:val="center"/>
              <w:rPr>
                <w:i/>
                <w:sz w:val="18"/>
                <w:szCs w:val="18"/>
              </w:rPr>
            </w:pPr>
          </w:p>
          <w:p w:rsidR="00C970D0" w:rsidRPr="005D53FB" w:rsidRDefault="003172C5" w:rsidP="003172C5">
            <w:pPr>
              <w:jc w:val="center"/>
              <w:rPr>
                <w:i/>
                <w:sz w:val="18"/>
                <w:szCs w:val="18"/>
              </w:rPr>
            </w:pPr>
            <w:r>
              <w:rPr>
                <w:i/>
                <w:sz w:val="18"/>
                <w:szCs w:val="18"/>
              </w:rPr>
              <w:t>?</w:t>
            </w:r>
          </w:p>
        </w:tc>
        <w:tc>
          <w:tcPr>
            <w:tcW w:w="1998" w:type="dxa"/>
          </w:tcPr>
          <w:p w:rsidR="00D223F6" w:rsidRDefault="00D223F6" w:rsidP="0056196F">
            <w:pPr>
              <w:rPr>
                <w:sz w:val="18"/>
                <w:szCs w:val="18"/>
              </w:rPr>
            </w:pPr>
          </w:p>
          <w:p w:rsidR="00C970D0" w:rsidRPr="00D223F6" w:rsidRDefault="00D223F6" w:rsidP="0056196F">
            <w:pPr>
              <w:rPr>
                <w:sz w:val="18"/>
                <w:szCs w:val="18"/>
              </w:rPr>
            </w:pPr>
            <w:r w:rsidRPr="00D223F6">
              <w:rPr>
                <w:sz w:val="18"/>
                <w:szCs w:val="18"/>
                <w:highlight w:val="yellow"/>
              </w:rPr>
              <w:t>NOT BEGUN YET</w:t>
            </w:r>
          </w:p>
        </w:tc>
      </w:tr>
      <w:tr w:rsidR="005E6B00" w:rsidRPr="004E7B25" w:rsidTr="00C047DF">
        <w:tc>
          <w:tcPr>
            <w:tcW w:w="2070" w:type="dxa"/>
          </w:tcPr>
          <w:p w:rsidR="005E6B00" w:rsidRPr="005D53FB" w:rsidRDefault="00452059" w:rsidP="005E6B00">
            <w:pPr>
              <w:rPr>
                <w:i/>
                <w:sz w:val="18"/>
                <w:szCs w:val="18"/>
              </w:rPr>
            </w:pPr>
            <w:r w:rsidRPr="005D53FB">
              <w:rPr>
                <w:i/>
                <w:sz w:val="18"/>
                <w:szCs w:val="18"/>
              </w:rPr>
              <w:t>E</w:t>
            </w:r>
            <w:r w:rsidR="005E6B00" w:rsidRPr="005D53FB">
              <w:rPr>
                <w:i/>
                <w:sz w:val="18"/>
                <w:szCs w:val="18"/>
              </w:rPr>
              <w:t xml:space="preserve">valuation of mitigation and </w:t>
            </w:r>
            <w:proofErr w:type="gramStart"/>
            <w:r w:rsidR="005E6B00" w:rsidRPr="005D53FB">
              <w:rPr>
                <w:i/>
                <w:sz w:val="18"/>
                <w:szCs w:val="18"/>
              </w:rPr>
              <w:t>adaptation  scenarios</w:t>
            </w:r>
            <w:proofErr w:type="gramEnd"/>
            <w:r w:rsidR="005E6B00" w:rsidRPr="005D53FB">
              <w:rPr>
                <w:i/>
                <w:sz w:val="18"/>
                <w:szCs w:val="18"/>
              </w:rPr>
              <w:t xml:space="preserve"> at regional level for milk production in Wisconsin. </w:t>
            </w:r>
          </w:p>
        </w:tc>
        <w:tc>
          <w:tcPr>
            <w:tcW w:w="2880" w:type="dxa"/>
          </w:tcPr>
          <w:p w:rsidR="005E6B00" w:rsidRPr="005D53FB" w:rsidRDefault="005E6B00" w:rsidP="00C047DF">
            <w:pPr>
              <w:rPr>
                <w:i/>
                <w:sz w:val="18"/>
                <w:szCs w:val="18"/>
              </w:rPr>
            </w:pPr>
            <w:r w:rsidRPr="005D53FB">
              <w:rPr>
                <w:i/>
                <w:sz w:val="18"/>
                <w:szCs w:val="18"/>
              </w:rPr>
              <w:t xml:space="preserve">Karin Veltman1, Curtis Jones2, Richard Gaillard3, Prathamesh Avadhut Bandekar4, Larry Chase6, Cesar Izaurralde2, Changsheng Li7,8, Marty Matlock4, Al Rotz9, William Salas8, Peter Vadas3, Forest, Nicholas </w:t>
            </w:r>
          </w:p>
          <w:p w:rsidR="005E6B00" w:rsidRPr="005D53FB" w:rsidRDefault="005E6B00" w:rsidP="00C047DF">
            <w:pPr>
              <w:rPr>
                <w:i/>
                <w:sz w:val="18"/>
                <w:szCs w:val="18"/>
              </w:rPr>
            </w:pPr>
            <w:r w:rsidRPr="005D53FB">
              <w:rPr>
                <w:i/>
                <w:sz w:val="18"/>
                <w:szCs w:val="18"/>
              </w:rPr>
              <w:t>Olivier Jolliet1</w:t>
            </w:r>
          </w:p>
        </w:tc>
        <w:tc>
          <w:tcPr>
            <w:tcW w:w="2070" w:type="dxa"/>
          </w:tcPr>
          <w:p w:rsidR="005E6B00" w:rsidRPr="005D53FB" w:rsidRDefault="005E6B00" w:rsidP="00452059">
            <w:pPr>
              <w:rPr>
                <w:i/>
                <w:sz w:val="18"/>
                <w:szCs w:val="18"/>
              </w:rPr>
            </w:pPr>
            <w:r w:rsidRPr="005D53FB">
              <w:rPr>
                <w:i/>
                <w:sz w:val="18"/>
                <w:szCs w:val="18"/>
              </w:rPr>
              <w:t>Sensitivity study on BMPs (based on Matt's list) and climate change scenarios, base</w:t>
            </w:r>
            <w:r w:rsidR="005D53FB">
              <w:rPr>
                <w:i/>
                <w:sz w:val="18"/>
                <w:szCs w:val="18"/>
              </w:rPr>
              <w:t>d</w:t>
            </w:r>
            <w:r w:rsidRPr="005D53FB">
              <w:rPr>
                <w:i/>
                <w:sz w:val="18"/>
                <w:szCs w:val="18"/>
              </w:rPr>
              <w:t xml:space="preserve"> on objective 2. </w:t>
            </w:r>
            <w:r w:rsidR="00452059" w:rsidRPr="005D53FB">
              <w:rPr>
                <w:i/>
                <w:sz w:val="18"/>
                <w:szCs w:val="18"/>
              </w:rPr>
              <w:t>Scenario analysis on how to reach US objective of 25% reduction based on potential BMPs adoption scenarios.</w:t>
            </w:r>
          </w:p>
        </w:tc>
        <w:tc>
          <w:tcPr>
            <w:tcW w:w="1350" w:type="dxa"/>
          </w:tcPr>
          <w:p w:rsidR="005E6B00" w:rsidRPr="005D53FB" w:rsidRDefault="00BD3279" w:rsidP="00C047DF">
            <w:pPr>
              <w:rPr>
                <w:i/>
                <w:sz w:val="18"/>
                <w:szCs w:val="18"/>
              </w:rPr>
            </w:pPr>
            <w:r w:rsidRPr="005D53FB">
              <w:rPr>
                <w:b/>
                <w:sz w:val="18"/>
                <w:szCs w:val="18"/>
              </w:rPr>
              <w:t>International Dairy Journal?</w:t>
            </w:r>
          </w:p>
        </w:tc>
        <w:tc>
          <w:tcPr>
            <w:tcW w:w="1998" w:type="dxa"/>
          </w:tcPr>
          <w:p w:rsidR="005E6B00" w:rsidRDefault="005E6B00" w:rsidP="00C047DF">
            <w:pPr>
              <w:rPr>
                <w:i/>
                <w:sz w:val="18"/>
                <w:szCs w:val="18"/>
              </w:rPr>
            </w:pPr>
          </w:p>
          <w:p w:rsidR="00D223F6" w:rsidRPr="005D53FB" w:rsidRDefault="00D223F6" w:rsidP="00C047DF">
            <w:pPr>
              <w:rPr>
                <w:i/>
                <w:sz w:val="18"/>
                <w:szCs w:val="18"/>
              </w:rPr>
            </w:pPr>
            <w:r w:rsidRPr="00D223F6">
              <w:rPr>
                <w:sz w:val="18"/>
                <w:szCs w:val="18"/>
                <w:highlight w:val="yellow"/>
              </w:rPr>
              <w:t>NOT BEGUN YET</w:t>
            </w:r>
          </w:p>
        </w:tc>
      </w:tr>
      <w:tr w:rsidR="00957243" w:rsidTr="004E7B25">
        <w:tc>
          <w:tcPr>
            <w:tcW w:w="2070" w:type="dxa"/>
          </w:tcPr>
          <w:p w:rsidR="00957243" w:rsidRPr="00524BE7" w:rsidRDefault="00957243" w:rsidP="00415F70">
            <w:pPr>
              <w:rPr>
                <w:b/>
                <w:sz w:val="18"/>
                <w:szCs w:val="18"/>
                <w:u w:val="single"/>
              </w:rPr>
            </w:pPr>
            <w:r w:rsidRPr="00524BE7">
              <w:rPr>
                <w:rFonts w:ascii="Calibri" w:eastAsia="Times New Roman" w:hAnsi="Calibri" w:cs="Times New Roman"/>
                <w:color w:val="000000"/>
                <w:sz w:val="18"/>
                <w:szCs w:val="18"/>
              </w:rPr>
              <w:t>2 papers on CNCPS</w:t>
            </w:r>
          </w:p>
        </w:tc>
        <w:tc>
          <w:tcPr>
            <w:tcW w:w="2880" w:type="dxa"/>
          </w:tcPr>
          <w:p w:rsidR="00957243" w:rsidRPr="00524BE7" w:rsidRDefault="00957243" w:rsidP="00415F70">
            <w:pPr>
              <w:rPr>
                <w:b/>
                <w:sz w:val="18"/>
                <w:szCs w:val="18"/>
                <w:u w:val="single"/>
              </w:rPr>
            </w:pPr>
            <w:r w:rsidRPr="00524BE7">
              <w:rPr>
                <w:rFonts w:ascii="Calibri" w:eastAsia="Times New Roman" w:hAnsi="Calibri" w:cs="Times New Roman"/>
                <w:color w:val="000000"/>
                <w:sz w:val="18"/>
                <w:szCs w:val="18"/>
              </w:rPr>
              <w:t>Larry Chase</w:t>
            </w:r>
          </w:p>
        </w:tc>
        <w:tc>
          <w:tcPr>
            <w:tcW w:w="2070" w:type="dxa"/>
          </w:tcPr>
          <w:p w:rsidR="00957243" w:rsidRPr="00524BE7" w:rsidRDefault="00957243" w:rsidP="00415F70">
            <w:pPr>
              <w:rPr>
                <w:b/>
                <w:sz w:val="18"/>
                <w:szCs w:val="18"/>
                <w:u w:val="single"/>
              </w:rPr>
            </w:pPr>
            <w:r w:rsidRPr="00524BE7">
              <w:rPr>
                <w:rFonts w:ascii="Calibri" w:eastAsia="Times New Roman" w:hAnsi="Calibri" w:cs="Times New Roman"/>
                <w:color w:val="000000"/>
                <w:sz w:val="18"/>
                <w:szCs w:val="18"/>
              </w:rPr>
              <w:t>the biology of CNCPS</w:t>
            </w:r>
          </w:p>
        </w:tc>
        <w:tc>
          <w:tcPr>
            <w:tcW w:w="1350" w:type="dxa"/>
          </w:tcPr>
          <w:p w:rsidR="00957243" w:rsidRPr="00524BE7" w:rsidRDefault="00957243" w:rsidP="00415F70">
            <w:pPr>
              <w:rPr>
                <w:b/>
                <w:sz w:val="18"/>
                <w:szCs w:val="18"/>
                <w:u w:val="single"/>
              </w:rPr>
            </w:pPr>
            <w:r w:rsidRPr="00524BE7">
              <w:rPr>
                <w:rFonts w:ascii="Calibri" w:eastAsia="Times New Roman" w:hAnsi="Calibri" w:cs="Times New Roman"/>
                <w:color w:val="000000"/>
                <w:sz w:val="18"/>
                <w:szCs w:val="18"/>
              </w:rPr>
              <w:t>Journal of Dairy Science</w:t>
            </w:r>
          </w:p>
        </w:tc>
        <w:tc>
          <w:tcPr>
            <w:tcW w:w="1998" w:type="dxa"/>
          </w:tcPr>
          <w:p w:rsidR="00957243" w:rsidRPr="00524BE7" w:rsidRDefault="00957243" w:rsidP="0056196F">
            <w:pPr>
              <w:rPr>
                <w:b/>
                <w:sz w:val="18"/>
                <w:szCs w:val="18"/>
                <w:u w:val="single"/>
              </w:rPr>
            </w:pPr>
            <w:r w:rsidRPr="00524BE7">
              <w:rPr>
                <w:rFonts w:ascii="Calibri" w:eastAsia="Times New Roman" w:hAnsi="Calibri" w:cs="Times New Roman"/>
                <w:color w:val="000000"/>
                <w:sz w:val="18"/>
                <w:szCs w:val="18"/>
              </w:rPr>
              <w:t>Accepted</w:t>
            </w:r>
          </w:p>
        </w:tc>
      </w:tr>
      <w:tr w:rsidR="00452B1D" w:rsidTr="005D53FB">
        <w:trPr>
          <w:trHeight w:val="2906"/>
        </w:trPr>
        <w:tc>
          <w:tcPr>
            <w:tcW w:w="2070" w:type="dxa"/>
          </w:tcPr>
          <w:p w:rsidR="00452B1D" w:rsidRDefault="00452B1D" w:rsidP="00415F70">
            <w:pPr>
              <w:rPr>
                <w:i/>
                <w:sz w:val="20"/>
                <w:szCs w:val="20"/>
              </w:rPr>
            </w:pPr>
            <w:r w:rsidRPr="0059121F">
              <w:rPr>
                <w:i/>
                <w:sz w:val="20"/>
                <w:szCs w:val="20"/>
              </w:rPr>
              <w:t>Climate Change Impacts on the Dairy Industry</w:t>
            </w:r>
          </w:p>
          <w:p w:rsidR="00452B1D" w:rsidRDefault="00452B1D" w:rsidP="00415F70">
            <w:pPr>
              <w:rPr>
                <w:i/>
                <w:sz w:val="20"/>
                <w:szCs w:val="20"/>
              </w:rPr>
            </w:pPr>
          </w:p>
          <w:p w:rsidR="00452B1D" w:rsidRDefault="00452B1D" w:rsidP="00415F70">
            <w:pPr>
              <w:rPr>
                <w:i/>
                <w:sz w:val="20"/>
                <w:szCs w:val="20"/>
              </w:rPr>
            </w:pPr>
          </w:p>
          <w:p w:rsidR="00452B1D" w:rsidRPr="0059121F" w:rsidRDefault="00452B1D" w:rsidP="00415F70">
            <w:pPr>
              <w:rPr>
                <w:rFonts w:ascii="Calibri" w:eastAsia="Times New Roman" w:hAnsi="Calibri" w:cs="Times New Roman"/>
                <w:i/>
                <w:color w:val="000000"/>
                <w:sz w:val="20"/>
                <w:szCs w:val="20"/>
              </w:rPr>
            </w:pPr>
            <w:r w:rsidRPr="0059121F">
              <w:rPr>
                <w:i/>
                <w:sz w:val="20"/>
                <w:szCs w:val="20"/>
              </w:rPr>
              <w:t>Herd Management Strategies to Reduce Methane Emissions in Dairy Herds</w:t>
            </w:r>
          </w:p>
        </w:tc>
        <w:tc>
          <w:tcPr>
            <w:tcW w:w="2880" w:type="dxa"/>
          </w:tcPr>
          <w:p w:rsidR="00452B1D" w:rsidRPr="0059121F" w:rsidRDefault="00452B1D" w:rsidP="00415F70">
            <w:pPr>
              <w:rPr>
                <w:rFonts w:ascii="Calibri" w:eastAsia="Times New Roman" w:hAnsi="Calibri" w:cs="Times New Roman"/>
                <w:color w:val="000000"/>
                <w:sz w:val="20"/>
                <w:szCs w:val="20"/>
              </w:rPr>
            </w:pPr>
            <w:r>
              <w:rPr>
                <w:sz w:val="20"/>
                <w:szCs w:val="20"/>
              </w:rPr>
              <w:t xml:space="preserve">Larry </w:t>
            </w:r>
            <w:r w:rsidRPr="0059121F">
              <w:rPr>
                <w:sz w:val="20"/>
                <w:szCs w:val="20"/>
              </w:rPr>
              <w:t>Chase</w:t>
            </w:r>
          </w:p>
          <w:p w:rsidR="00452B1D" w:rsidRPr="0059121F" w:rsidRDefault="00452B1D" w:rsidP="00EF4474">
            <w:pPr>
              <w:rPr>
                <w:rFonts w:ascii="Calibri" w:eastAsia="Times New Roman" w:hAnsi="Calibri" w:cs="Times New Roman"/>
                <w:color w:val="000000"/>
                <w:sz w:val="20"/>
                <w:szCs w:val="20"/>
              </w:rPr>
            </w:pPr>
          </w:p>
        </w:tc>
        <w:tc>
          <w:tcPr>
            <w:tcW w:w="2070" w:type="dxa"/>
          </w:tcPr>
          <w:p w:rsidR="00452B1D" w:rsidRPr="005D53FB" w:rsidRDefault="00452B1D" w:rsidP="0059121F">
            <w:pPr>
              <w:rPr>
                <w:rFonts w:ascii="Calibri" w:eastAsia="Times New Roman" w:hAnsi="Calibri" w:cs="Times New Roman"/>
                <w:color w:val="000000"/>
                <w:sz w:val="18"/>
                <w:szCs w:val="18"/>
              </w:rPr>
            </w:pPr>
            <w:r w:rsidRPr="005D53FB">
              <w:rPr>
                <w:rFonts w:ascii="Calibri" w:eastAsia="Times New Roman" w:hAnsi="Calibri" w:cs="Times New Roman"/>
                <w:color w:val="000000"/>
                <w:sz w:val="18"/>
                <w:szCs w:val="18"/>
              </w:rPr>
              <w:t>1) The CNCPS model is used to show changes in nutritional strategies to predict the potential changes in GHG emissions compared to the baseline levels.</w:t>
            </w:r>
          </w:p>
          <w:p w:rsidR="00452B1D" w:rsidRPr="005D53FB" w:rsidRDefault="00452B1D" w:rsidP="0059121F">
            <w:pPr>
              <w:rPr>
                <w:rFonts w:ascii="Calibri" w:eastAsia="Times New Roman" w:hAnsi="Calibri" w:cs="Times New Roman"/>
                <w:color w:val="000000"/>
                <w:sz w:val="18"/>
                <w:szCs w:val="18"/>
              </w:rPr>
            </w:pPr>
            <w:r w:rsidRPr="005D53FB">
              <w:rPr>
                <w:rFonts w:ascii="Calibri" w:eastAsia="Times New Roman" w:hAnsi="Calibri" w:cs="Times New Roman"/>
                <w:color w:val="000000"/>
                <w:sz w:val="18"/>
                <w:szCs w:val="18"/>
              </w:rPr>
              <w:t>2) The CNCPS model will be to predict GHG emissions from dairy rations currently being fed in commercial dairy herds.</w:t>
            </w:r>
          </w:p>
        </w:tc>
        <w:tc>
          <w:tcPr>
            <w:tcW w:w="1350" w:type="dxa"/>
          </w:tcPr>
          <w:p w:rsidR="00452B1D" w:rsidRPr="0059121F" w:rsidRDefault="00452B1D" w:rsidP="0059121F">
            <w:pPr>
              <w:rPr>
                <w:sz w:val="20"/>
                <w:szCs w:val="20"/>
              </w:rPr>
            </w:pPr>
            <w:r w:rsidRPr="0059121F">
              <w:rPr>
                <w:sz w:val="20"/>
                <w:szCs w:val="20"/>
              </w:rPr>
              <w:t xml:space="preserve">Proc. Dairy Environmental Systems and Climate Adaptation Conf., Ithaca, NY.  </w:t>
            </w:r>
          </w:p>
          <w:p w:rsidR="00452B1D" w:rsidRPr="0059121F" w:rsidRDefault="00452B1D" w:rsidP="00415F70">
            <w:pPr>
              <w:rPr>
                <w:rFonts w:ascii="Calibri" w:eastAsia="Times New Roman" w:hAnsi="Calibri" w:cs="Times New Roman"/>
                <w:color w:val="000000"/>
                <w:sz w:val="20"/>
                <w:szCs w:val="20"/>
              </w:rPr>
            </w:pPr>
          </w:p>
        </w:tc>
        <w:tc>
          <w:tcPr>
            <w:tcW w:w="1998" w:type="dxa"/>
          </w:tcPr>
          <w:p w:rsidR="00452B1D" w:rsidRPr="0059121F" w:rsidRDefault="00452B1D" w:rsidP="0059121F">
            <w:pPr>
              <w:rPr>
                <w:rFonts w:ascii="Calibri" w:eastAsia="Times New Roman" w:hAnsi="Calibri" w:cs="Times New Roman"/>
                <w:color w:val="000000"/>
                <w:sz w:val="20"/>
                <w:szCs w:val="20"/>
              </w:rPr>
            </w:pPr>
            <w:r w:rsidRPr="0059121F">
              <w:rPr>
                <w:sz w:val="20"/>
                <w:szCs w:val="20"/>
              </w:rPr>
              <w:t>July 29-31</w:t>
            </w:r>
            <w:r>
              <w:rPr>
                <w:sz w:val="20"/>
                <w:szCs w:val="20"/>
              </w:rPr>
              <w:t>, 2015</w:t>
            </w:r>
          </w:p>
          <w:p w:rsidR="00452B1D" w:rsidRDefault="00452B1D" w:rsidP="00A874E0">
            <w:pPr>
              <w:rPr>
                <w:rFonts w:ascii="Calibri" w:eastAsia="Times New Roman" w:hAnsi="Calibri" w:cs="Times New Roman"/>
                <w:color w:val="000000"/>
                <w:sz w:val="20"/>
                <w:szCs w:val="20"/>
              </w:rPr>
            </w:pPr>
          </w:p>
          <w:p w:rsidR="00D223F6" w:rsidRPr="0059121F" w:rsidRDefault="00D223F6" w:rsidP="00A874E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COMPLETED</w:t>
            </w:r>
          </w:p>
        </w:tc>
      </w:tr>
      <w:tr w:rsidR="00F90460" w:rsidTr="004E7B25">
        <w:tc>
          <w:tcPr>
            <w:tcW w:w="2070" w:type="dxa"/>
          </w:tcPr>
          <w:p w:rsidR="00F90460" w:rsidRPr="00524BE7" w:rsidRDefault="00F90460" w:rsidP="00415F70">
            <w:pPr>
              <w:rPr>
                <w:rFonts w:ascii="Calibri" w:eastAsia="Times New Roman" w:hAnsi="Calibri" w:cs="Times New Roman"/>
                <w:color w:val="000000"/>
                <w:sz w:val="18"/>
                <w:szCs w:val="18"/>
              </w:rPr>
            </w:pPr>
            <w:r w:rsidRPr="00524BE7">
              <w:rPr>
                <w:rFonts w:ascii="Calibri" w:eastAsia="Times New Roman" w:hAnsi="Calibri" w:cs="Times New Roman"/>
                <w:i/>
                <w:color w:val="000000"/>
                <w:sz w:val="18"/>
                <w:szCs w:val="18"/>
              </w:rPr>
              <w:t>Biogeochemical modeling with APEX</w:t>
            </w:r>
          </w:p>
        </w:tc>
        <w:tc>
          <w:tcPr>
            <w:tcW w:w="2880" w:type="dxa"/>
          </w:tcPr>
          <w:p w:rsidR="00F90460" w:rsidRPr="00524BE7" w:rsidRDefault="00F90460" w:rsidP="00415F70">
            <w:pPr>
              <w:rPr>
                <w:rFonts w:ascii="Calibri" w:eastAsia="Times New Roman" w:hAnsi="Calibri" w:cs="Times New Roman"/>
                <w:color w:val="000000"/>
                <w:sz w:val="18"/>
                <w:szCs w:val="18"/>
              </w:rPr>
            </w:pPr>
            <w:r w:rsidRPr="00524BE7">
              <w:rPr>
                <w:rFonts w:ascii="Calibri" w:eastAsia="Times New Roman" w:hAnsi="Calibri" w:cs="Times New Roman"/>
                <w:color w:val="000000"/>
                <w:sz w:val="18"/>
                <w:szCs w:val="18"/>
              </w:rPr>
              <w:t>RC Izaurralde, CD Jones, JR Williams, WB McGill</w:t>
            </w:r>
          </w:p>
        </w:tc>
        <w:tc>
          <w:tcPr>
            <w:tcW w:w="2070" w:type="dxa"/>
          </w:tcPr>
          <w:p w:rsidR="00F90460" w:rsidRPr="00524BE7" w:rsidRDefault="00F90460" w:rsidP="00957243">
            <w:pPr>
              <w:rPr>
                <w:rFonts w:ascii="Calibri" w:eastAsia="Times New Roman" w:hAnsi="Calibri" w:cs="Times New Roman"/>
                <w:color w:val="000000"/>
                <w:sz w:val="18"/>
                <w:szCs w:val="18"/>
              </w:rPr>
            </w:pPr>
            <w:r w:rsidRPr="00524BE7">
              <w:rPr>
                <w:rFonts w:ascii="Calibri" w:eastAsia="Times New Roman" w:hAnsi="Calibri" w:cs="Times New Roman"/>
                <w:color w:val="000000"/>
                <w:sz w:val="18"/>
                <w:szCs w:val="18"/>
              </w:rPr>
              <w:t xml:space="preserve">Process model comparison and identification of key needs </w:t>
            </w:r>
          </w:p>
        </w:tc>
        <w:tc>
          <w:tcPr>
            <w:tcW w:w="1350" w:type="dxa"/>
          </w:tcPr>
          <w:p w:rsidR="00F90460" w:rsidRPr="00524BE7" w:rsidRDefault="00F90460" w:rsidP="00415F70">
            <w:pPr>
              <w:rPr>
                <w:rFonts w:ascii="Calibri" w:eastAsia="Times New Roman" w:hAnsi="Calibri" w:cs="Times New Roman"/>
                <w:color w:val="000000"/>
                <w:sz w:val="18"/>
                <w:szCs w:val="18"/>
              </w:rPr>
            </w:pPr>
            <w:r w:rsidRPr="00524BE7">
              <w:rPr>
                <w:rFonts w:ascii="Calibri" w:eastAsia="Times New Roman" w:hAnsi="Calibri" w:cs="Times New Roman"/>
                <w:color w:val="000000"/>
                <w:sz w:val="18"/>
                <w:szCs w:val="18"/>
              </w:rPr>
              <w:t>Proceedings of 2015 SWAT conference</w:t>
            </w:r>
          </w:p>
        </w:tc>
        <w:tc>
          <w:tcPr>
            <w:tcW w:w="1998" w:type="dxa"/>
          </w:tcPr>
          <w:p w:rsidR="00F90460" w:rsidRPr="00524BE7" w:rsidRDefault="00F90460" w:rsidP="0056196F">
            <w:pPr>
              <w:rPr>
                <w:rFonts w:ascii="Calibri" w:eastAsia="Times New Roman" w:hAnsi="Calibri" w:cs="Times New Roman"/>
                <w:color w:val="000000"/>
                <w:sz w:val="18"/>
                <w:szCs w:val="18"/>
              </w:rPr>
            </w:pPr>
            <w:r w:rsidRPr="00524BE7">
              <w:rPr>
                <w:rFonts w:ascii="Calibri" w:eastAsia="Times New Roman" w:hAnsi="Calibri" w:cs="Times New Roman"/>
                <w:color w:val="000000"/>
                <w:sz w:val="18"/>
                <w:szCs w:val="18"/>
              </w:rPr>
              <w:t>End of October 2015</w:t>
            </w:r>
          </w:p>
        </w:tc>
      </w:tr>
      <w:tr w:rsidR="00F90460" w:rsidTr="004E7B25">
        <w:tc>
          <w:tcPr>
            <w:tcW w:w="2070" w:type="dxa"/>
          </w:tcPr>
          <w:p w:rsidR="00F90460" w:rsidRPr="00524BE7" w:rsidRDefault="00F90460" w:rsidP="00415F70">
            <w:pPr>
              <w:rPr>
                <w:rFonts w:ascii="Calibri" w:eastAsia="Times New Roman" w:hAnsi="Calibri" w:cs="Times New Roman"/>
                <w:color w:val="000000"/>
                <w:sz w:val="18"/>
                <w:szCs w:val="18"/>
              </w:rPr>
            </w:pPr>
            <w:r w:rsidRPr="00524BE7">
              <w:rPr>
                <w:rFonts w:ascii="Calibri" w:eastAsia="Times New Roman" w:hAnsi="Calibri" w:cs="Times New Roman"/>
                <w:i/>
                <w:color w:val="000000"/>
                <w:sz w:val="18"/>
                <w:szCs w:val="18"/>
              </w:rPr>
              <w:t>Simulating microbial denitrification with EPIC: model description and initial testing</w:t>
            </w:r>
          </w:p>
        </w:tc>
        <w:tc>
          <w:tcPr>
            <w:tcW w:w="2880" w:type="dxa"/>
          </w:tcPr>
          <w:p w:rsidR="00F90460" w:rsidRPr="00524BE7" w:rsidRDefault="00F90460" w:rsidP="00415F70">
            <w:pPr>
              <w:rPr>
                <w:rFonts w:ascii="Calibri" w:eastAsia="Times New Roman" w:hAnsi="Calibri" w:cs="Times New Roman"/>
                <w:color w:val="000000"/>
                <w:sz w:val="18"/>
                <w:szCs w:val="18"/>
              </w:rPr>
            </w:pPr>
            <w:r w:rsidRPr="00524BE7">
              <w:rPr>
                <w:rFonts w:ascii="Calibri" w:eastAsia="Times New Roman" w:hAnsi="Calibri" w:cs="Times New Roman"/>
                <w:color w:val="000000"/>
                <w:sz w:val="18"/>
                <w:szCs w:val="18"/>
              </w:rPr>
              <w:t xml:space="preserve">RC Izaurralde, WB </w:t>
            </w:r>
            <w:proofErr w:type="spellStart"/>
            <w:r w:rsidRPr="00524BE7">
              <w:rPr>
                <w:rFonts w:ascii="Calibri" w:eastAsia="Times New Roman" w:hAnsi="Calibri" w:cs="Times New Roman"/>
                <w:color w:val="000000"/>
                <w:sz w:val="18"/>
                <w:szCs w:val="18"/>
              </w:rPr>
              <w:t>McGIll</w:t>
            </w:r>
            <w:proofErr w:type="spellEnd"/>
            <w:r w:rsidRPr="00524BE7">
              <w:rPr>
                <w:rFonts w:ascii="Calibri" w:eastAsia="Times New Roman" w:hAnsi="Calibri" w:cs="Times New Roman"/>
                <w:color w:val="000000"/>
                <w:sz w:val="18"/>
                <w:szCs w:val="18"/>
              </w:rPr>
              <w:t xml:space="preserve">, JR Williams, CD Jones, RP Link, DH </w:t>
            </w:r>
            <w:proofErr w:type="spellStart"/>
            <w:r w:rsidRPr="00524BE7">
              <w:rPr>
                <w:rFonts w:ascii="Calibri" w:eastAsia="Times New Roman" w:hAnsi="Calibri" w:cs="Times New Roman"/>
                <w:color w:val="000000"/>
                <w:sz w:val="18"/>
                <w:szCs w:val="18"/>
              </w:rPr>
              <w:t>Manowitz</w:t>
            </w:r>
            <w:proofErr w:type="spellEnd"/>
            <w:r w:rsidRPr="00524BE7">
              <w:rPr>
                <w:rFonts w:ascii="Calibri" w:eastAsia="Times New Roman" w:hAnsi="Calibri" w:cs="Times New Roman"/>
                <w:color w:val="000000"/>
                <w:sz w:val="18"/>
                <w:szCs w:val="18"/>
              </w:rPr>
              <w:t>, DE</w:t>
            </w:r>
            <w:r w:rsidRPr="00524BE7">
              <w:rPr>
                <w:sz w:val="18"/>
                <w:szCs w:val="18"/>
              </w:rPr>
              <w:t xml:space="preserve"> </w:t>
            </w:r>
            <w:r w:rsidRPr="00524BE7">
              <w:rPr>
                <w:rFonts w:ascii="Calibri" w:eastAsia="Times New Roman" w:hAnsi="Calibri" w:cs="Times New Roman"/>
                <w:color w:val="000000"/>
                <w:sz w:val="18"/>
                <w:szCs w:val="18"/>
              </w:rPr>
              <w:t>Schwab, X Zhang</w:t>
            </w:r>
          </w:p>
        </w:tc>
        <w:tc>
          <w:tcPr>
            <w:tcW w:w="2070" w:type="dxa"/>
          </w:tcPr>
          <w:p w:rsidR="00F90460" w:rsidRPr="00524BE7" w:rsidRDefault="00F90460" w:rsidP="00957243">
            <w:pPr>
              <w:rPr>
                <w:rFonts w:ascii="Calibri" w:eastAsia="Times New Roman" w:hAnsi="Calibri" w:cs="Times New Roman"/>
                <w:color w:val="000000"/>
                <w:sz w:val="18"/>
                <w:szCs w:val="18"/>
              </w:rPr>
            </w:pPr>
            <w:r w:rsidRPr="00524BE7">
              <w:rPr>
                <w:rFonts w:ascii="Calibri" w:eastAsia="Times New Roman" w:hAnsi="Calibri" w:cs="Times New Roman"/>
                <w:color w:val="000000"/>
                <w:sz w:val="18"/>
                <w:szCs w:val="18"/>
              </w:rPr>
              <w:t xml:space="preserve">Process model comparison and identification of key needs </w:t>
            </w:r>
          </w:p>
        </w:tc>
        <w:tc>
          <w:tcPr>
            <w:tcW w:w="1350" w:type="dxa"/>
          </w:tcPr>
          <w:p w:rsidR="00F90460" w:rsidRPr="00524BE7" w:rsidRDefault="00F90460" w:rsidP="00415F70">
            <w:pPr>
              <w:rPr>
                <w:rFonts w:ascii="Calibri" w:eastAsia="Times New Roman" w:hAnsi="Calibri" w:cs="Times New Roman"/>
                <w:color w:val="000000"/>
                <w:sz w:val="18"/>
                <w:szCs w:val="18"/>
              </w:rPr>
            </w:pPr>
            <w:r w:rsidRPr="00524BE7">
              <w:rPr>
                <w:rFonts w:ascii="Calibri" w:eastAsia="Times New Roman" w:hAnsi="Calibri" w:cs="Times New Roman"/>
                <w:color w:val="000000"/>
                <w:sz w:val="18"/>
                <w:szCs w:val="18"/>
              </w:rPr>
              <w:t>Environmental Science and Technology</w:t>
            </w:r>
          </w:p>
        </w:tc>
        <w:tc>
          <w:tcPr>
            <w:tcW w:w="1998" w:type="dxa"/>
          </w:tcPr>
          <w:p w:rsidR="00F90460" w:rsidRPr="00524BE7" w:rsidRDefault="00F90460" w:rsidP="0056196F">
            <w:pPr>
              <w:rPr>
                <w:rFonts w:ascii="Calibri" w:eastAsia="Times New Roman" w:hAnsi="Calibri" w:cs="Times New Roman"/>
                <w:color w:val="000000"/>
                <w:sz w:val="18"/>
                <w:szCs w:val="18"/>
              </w:rPr>
            </w:pPr>
            <w:r w:rsidRPr="00524BE7">
              <w:rPr>
                <w:rFonts w:ascii="Calibri" w:eastAsia="Times New Roman" w:hAnsi="Calibri" w:cs="Times New Roman"/>
                <w:color w:val="000000"/>
                <w:sz w:val="18"/>
                <w:szCs w:val="18"/>
              </w:rPr>
              <w:t>End of October 2015</w:t>
            </w:r>
          </w:p>
        </w:tc>
      </w:tr>
      <w:tr w:rsidR="00F90460" w:rsidTr="004E7B25">
        <w:tc>
          <w:tcPr>
            <w:tcW w:w="2070" w:type="dxa"/>
          </w:tcPr>
          <w:p w:rsidR="00F90460" w:rsidRPr="00D223F6" w:rsidRDefault="00F90460" w:rsidP="00415F70">
            <w:pPr>
              <w:rPr>
                <w:rFonts w:ascii="Calibri" w:eastAsia="Times New Roman" w:hAnsi="Calibri" w:cs="Times New Roman"/>
                <w:color w:val="000000"/>
                <w:sz w:val="18"/>
                <w:szCs w:val="18"/>
              </w:rPr>
            </w:pPr>
            <w:r w:rsidRPr="00D223F6">
              <w:rPr>
                <w:i/>
                <w:sz w:val="18"/>
                <w:szCs w:val="18"/>
              </w:rPr>
              <w:t>Impacts of climate change on nutrient loads from a dairy farm: SWAT model</w:t>
            </w:r>
          </w:p>
        </w:tc>
        <w:tc>
          <w:tcPr>
            <w:tcW w:w="2880" w:type="dxa"/>
          </w:tcPr>
          <w:p w:rsidR="00F90460" w:rsidRPr="00E12B5A" w:rsidRDefault="00F90460" w:rsidP="00415F70">
            <w:pPr>
              <w:rPr>
                <w:rFonts w:ascii="Calibri" w:eastAsia="Times New Roman" w:hAnsi="Calibri" w:cs="Times New Roman"/>
                <w:color w:val="000000"/>
                <w:sz w:val="20"/>
                <w:szCs w:val="20"/>
              </w:rPr>
            </w:pPr>
            <w:r w:rsidRPr="00E12B5A">
              <w:rPr>
                <w:sz w:val="20"/>
                <w:szCs w:val="20"/>
              </w:rPr>
              <w:t>Bandekar, P. A., M. Matlock</w:t>
            </w:r>
          </w:p>
        </w:tc>
        <w:tc>
          <w:tcPr>
            <w:tcW w:w="2070" w:type="dxa"/>
          </w:tcPr>
          <w:p w:rsidR="00F90460" w:rsidRPr="00E12B5A" w:rsidRDefault="00F90460" w:rsidP="00415F70">
            <w:pPr>
              <w:rPr>
                <w:rFonts w:ascii="Calibri" w:eastAsia="Times New Roman" w:hAnsi="Calibri" w:cs="Times New Roman"/>
                <w:color w:val="000000"/>
                <w:sz w:val="20"/>
                <w:szCs w:val="20"/>
              </w:rPr>
            </w:pPr>
          </w:p>
        </w:tc>
        <w:tc>
          <w:tcPr>
            <w:tcW w:w="1350" w:type="dxa"/>
          </w:tcPr>
          <w:p w:rsidR="00F90460" w:rsidRPr="00E12B5A" w:rsidRDefault="00F90460" w:rsidP="00415F70">
            <w:pPr>
              <w:rPr>
                <w:rFonts w:ascii="Calibri" w:eastAsia="Times New Roman" w:hAnsi="Calibri" w:cs="Times New Roman"/>
                <w:color w:val="000000"/>
                <w:sz w:val="20"/>
                <w:szCs w:val="20"/>
              </w:rPr>
            </w:pPr>
            <w:r w:rsidRPr="00E12B5A">
              <w:rPr>
                <w:sz w:val="20"/>
                <w:szCs w:val="20"/>
              </w:rPr>
              <w:t>Unknown</w:t>
            </w:r>
          </w:p>
        </w:tc>
        <w:tc>
          <w:tcPr>
            <w:tcW w:w="1998" w:type="dxa"/>
          </w:tcPr>
          <w:p w:rsidR="00F90460" w:rsidRPr="00E12B5A" w:rsidRDefault="00F90460" w:rsidP="0056196F">
            <w:pPr>
              <w:rPr>
                <w:rFonts w:ascii="Calibri" w:eastAsia="Times New Roman" w:hAnsi="Calibri" w:cs="Times New Roman"/>
                <w:color w:val="000000"/>
                <w:sz w:val="20"/>
                <w:szCs w:val="20"/>
              </w:rPr>
            </w:pPr>
            <w:r w:rsidRPr="00E12B5A">
              <w:rPr>
                <w:sz w:val="20"/>
                <w:szCs w:val="20"/>
              </w:rPr>
              <w:t>Unknown</w:t>
            </w:r>
          </w:p>
        </w:tc>
      </w:tr>
      <w:tr w:rsidR="00F90460" w:rsidTr="004E7B25">
        <w:tc>
          <w:tcPr>
            <w:tcW w:w="2070" w:type="dxa"/>
          </w:tcPr>
          <w:p w:rsidR="00F90460" w:rsidRPr="00E12B5A" w:rsidRDefault="00F90460" w:rsidP="00415F70">
            <w:pPr>
              <w:rPr>
                <w:i/>
                <w:sz w:val="20"/>
                <w:szCs w:val="20"/>
              </w:rPr>
            </w:pPr>
            <w:r>
              <w:rPr>
                <w:i/>
                <w:sz w:val="20"/>
                <w:szCs w:val="20"/>
              </w:rPr>
              <w:t>Various</w:t>
            </w:r>
          </w:p>
        </w:tc>
        <w:tc>
          <w:tcPr>
            <w:tcW w:w="2880" w:type="dxa"/>
          </w:tcPr>
          <w:p w:rsidR="00F90460" w:rsidRPr="00E12B5A" w:rsidRDefault="00F90460" w:rsidP="00415F70">
            <w:pPr>
              <w:rPr>
                <w:sz w:val="20"/>
                <w:szCs w:val="20"/>
              </w:rPr>
            </w:pPr>
            <w:r>
              <w:rPr>
                <w:sz w:val="20"/>
                <w:szCs w:val="20"/>
              </w:rPr>
              <w:t>Members of the measurement team</w:t>
            </w:r>
          </w:p>
        </w:tc>
        <w:tc>
          <w:tcPr>
            <w:tcW w:w="2070" w:type="dxa"/>
          </w:tcPr>
          <w:p w:rsidR="00F90460" w:rsidRPr="00E12B5A" w:rsidRDefault="00F90460" w:rsidP="00B91C4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Pr="00B91C47">
              <w:rPr>
                <w:rFonts w:ascii="Calibri" w:eastAsia="Times New Roman" w:hAnsi="Calibri" w:cs="Times New Roman"/>
                <w:color w:val="000000"/>
                <w:sz w:val="20"/>
                <w:szCs w:val="20"/>
              </w:rPr>
              <w:t>rovide the model results to the field scientist to include in their papers because field researchers should be the lead authors on all papers using their field data.</w:t>
            </w:r>
          </w:p>
        </w:tc>
        <w:tc>
          <w:tcPr>
            <w:tcW w:w="1350" w:type="dxa"/>
          </w:tcPr>
          <w:p w:rsidR="003172C5" w:rsidRDefault="003172C5" w:rsidP="003172C5">
            <w:pPr>
              <w:jc w:val="center"/>
              <w:rPr>
                <w:sz w:val="20"/>
                <w:szCs w:val="20"/>
              </w:rPr>
            </w:pPr>
          </w:p>
          <w:p w:rsidR="003172C5" w:rsidRDefault="003172C5" w:rsidP="003172C5">
            <w:pPr>
              <w:jc w:val="center"/>
              <w:rPr>
                <w:sz w:val="20"/>
                <w:szCs w:val="20"/>
              </w:rPr>
            </w:pPr>
          </w:p>
          <w:p w:rsidR="003172C5" w:rsidRDefault="003172C5" w:rsidP="003172C5">
            <w:pPr>
              <w:jc w:val="center"/>
              <w:rPr>
                <w:sz w:val="20"/>
                <w:szCs w:val="20"/>
              </w:rPr>
            </w:pPr>
          </w:p>
          <w:p w:rsidR="00F90460" w:rsidRPr="00E12B5A" w:rsidRDefault="00F90460" w:rsidP="003172C5">
            <w:pPr>
              <w:jc w:val="center"/>
              <w:rPr>
                <w:sz w:val="20"/>
                <w:szCs w:val="20"/>
              </w:rPr>
            </w:pPr>
            <w:r>
              <w:rPr>
                <w:sz w:val="20"/>
                <w:szCs w:val="20"/>
              </w:rPr>
              <w:t>??</w:t>
            </w:r>
          </w:p>
        </w:tc>
        <w:tc>
          <w:tcPr>
            <w:tcW w:w="1998" w:type="dxa"/>
          </w:tcPr>
          <w:p w:rsidR="003172C5" w:rsidRDefault="003172C5" w:rsidP="003172C5">
            <w:pPr>
              <w:jc w:val="center"/>
              <w:rPr>
                <w:sz w:val="20"/>
                <w:szCs w:val="20"/>
              </w:rPr>
            </w:pPr>
          </w:p>
          <w:p w:rsidR="003172C5" w:rsidRDefault="003172C5" w:rsidP="003172C5">
            <w:pPr>
              <w:jc w:val="center"/>
              <w:rPr>
                <w:sz w:val="20"/>
                <w:szCs w:val="20"/>
              </w:rPr>
            </w:pPr>
          </w:p>
          <w:p w:rsidR="003172C5" w:rsidRDefault="003172C5" w:rsidP="003172C5">
            <w:pPr>
              <w:jc w:val="center"/>
              <w:rPr>
                <w:sz w:val="20"/>
                <w:szCs w:val="20"/>
              </w:rPr>
            </w:pPr>
          </w:p>
          <w:p w:rsidR="00F90460" w:rsidRPr="00E12B5A" w:rsidRDefault="00F90460" w:rsidP="003172C5">
            <w:pPr>
              <w:jc w:val="center"/>
              <w:rPr>
                <w:sz w:val="20"/>
                <w:szCs w:val="20"/>
              </w:rPr>
            </w:pPr>
            <w:r>
              <w:rPr>
                <w:sz w:val="20"/>
                <w:szCs w:val="20"/>
              </w:rPr>
              <w:t>??</w:t>
            </w:r>
          </w:p>
        </w:tc>
      </w:tr>
    </w:tbl>
    <w:p w:rsidR="009D1AEF" w:rsidRDefault="009D1AEF" w:rsidP="009D1AEF">
      <w:pPr>
        <w:pStyle w:val="ListParagraph"/>
        <w:spacing w:after="0" w:line="240" w:lineRule="auto"/>
      </w:pPr>
    </w:p>
    <w:p w:rsidR="00E12B5A" w:rsidRDefault="00E12B5A" w:rsidP="00F90460">
      <w:pPr>
        <w:rPr>
          <w:b/>
        </w:rPr>
      </w:pPr>
      <w:r>
        <w:rPr>
          <w:b/>
        </w:rPr>
        <w:lastRenderedPageBreak/>
        <w:t xml:space="preserve">Phase 2 </w:t>
      </w:r>
      <w:r w:rsidR="00081D72">
        <w:rPr>
          <w:b/>
        </w:rPr>
        <w:t xml:space="preserve">of Objective 2a is </w:t>
      </w:r>
      <w:r>
        <w:rPr>
          <w:b/>
        </w:rPr>
        <w:t xml:space="preserve">using </w:t>
      </w:r>
      <w:r w:rsidRPr="004D6810">
        <w:rPr>
          <w:b/>
          <w:u w:val="single"/>
        </w:rPr>
        <w:t>field measurements</w:t>
      </w:r>
      <w:r>
        <w:rPr>
          <w:b/>
        </w:rPr>
        <w:t xml:space="preserve"> for model validation and calibration</w:t>
      </w:r>
    </w:p>
    <w:p w:rsidR="00081D72" w:rsidRDefault="00081D72" w:rsidP="00E12B5A">
      <w:pPr>
        <w:spacing w:after="0" w:line="240" w:lineRule="auto"/>
        <w:rPr>
          <w:b/>
        </w:rPr>
      </w:pPr>
    </w:p>
    <w:tbl>
      <w:tblPr>
        <w:tblStyle w:val="TableGrid"/>
        <w:tblW w:w="10188" w:type="dxa"/>
        <w:tblInd w:w="-162" w:type="dxa"/>
        <w:tblLayout w:type="fixed"/>
        <w:tblLook w:val="04A0" w:firstRow="1" w:lastRow="0" w:firstColumn="1" w:lastColumn="0" w:noHBand="0" w:noVBand="1"/>
      </w:tblPr>
      <w:tblGrid>
        <w:gridCol w:w="2790"/>
        <w:gridCol w:w="1712"/>
        <w:gridCol w:w="2338"/>
        <w:gridCol w:w="1350"/>
        <w:gridCol w:w="1998"/>
      </w:tblGrid>
      <w:tr w:rsidR="00196107" w:rsidRPr="005F6922" w:rsidTr="00081D72">
        <w:tc>
          <w:tcPr>
            <w:tcW w:w="2790" w:type="dxa"/>
          </w:tcPr>
          <w:p w:rsidR="00196107" w:rsidRPr="005F6922" w:rsidRDefault="00196107" w:rsidP="0056196F">
            <w:pPr>
              <w:jc w:val="center"/>
              <w:rPr>
                <w:b/>
                <w:sz w:val="24"/>
                <w:szCs w:val="24"/>
              </w:rPr>
            </w:pPr>
            <w:r w:rsidRPr="005F6922">
              <w:rPr>
                <w:b/>
                <w:sz w:val="24"/>
                <w:szCs w:val="24"/>
              </w:rPr>
              <w:t>Title</w:t>
            </w:r>
          </w:p>
        </w:tc>
        <w:tc>
          <w:tcPr>
            <w:tcW w:w="1712" w:type="dxa"/>
          </w:tcPr>
          <w:p w:rsidR="00196107" w:rsidRPr="005F6922" w:rsidRDefault="00196107" w:rsidP="0056196F">
            <w:pPr>
              <w:rPr>
                <w:b/>
                <w:sz w:val="24"/>
                <w:szCs w:val="24"/>
              </w:rPr>
            </w:pPr>
            <w:r w:rsidRPr="005F6922">
              <w:rPr>
                <w:b/>
                <w:sz w:val="24"/>
                <w:szCs w:val="24"/>
              </w:rPr>
              <w:t>Authors</w:t>
            </w:r>
          </w:p>
        </w:tc>
        <w:tc>
          <w:tcPr>
            <w:tcW w:w="2338" w:type="dxa"/>
          </w:tcPr>
          <w:p w:rsidR="00196107" w:rsidRPr="005F6922" w:rsidRDefault="00196107" w:rsidP="0056196F">
            <w:pPr>
              <w:rPr>
                <w:b/>
                <w:sz w:val="24"/>
                <w:szCs w:val="24"/>
              </w:rPr>
            </w:pPr>
            <w:r>
              <w:rPr>
                <w:b/>
                <w:sz w:val="24"/>
                <w:szCs w:val="24"/>
              </w:rPr>
              <w:t>Objective</w:t>
            </w:r>
          </w:p>
        </w:tc>
        <w:tc>
          <w:tcPr>
            <w:tcW w:w="1350" w:type="dxa"/>
          </w:tcPr>
          <w:p w:rsidR="00196107" w:rsidRPr="005F6922" w:rsidRDefault="00196107" w:rsidP="0056196F">
            <w:pPr>
              <w:rPr>
                <w:b/>
                <w:sz w:val="24"/>
                <w:szCs w:val="24"/>
              </w:rPr>
            </w:pPr>
            <w:r>
              <w:rPr>
                <w:b/>
                <w:sz w:val="24"/>
                <w:szCs w:val="24"/>
              </w:rPr>
              <w:t>Journal</w:t>
            </w:r>
          </w:p>
        </w:tc>
        <w:tc>
          <w:tcPr>
            <w:tcW w:w="1998" w:type="dxa"/>
          </w:tcPr>
          <w:p w:rsidR="00196107" w:rsidRPr="005F6922" w:rsidRDefault="00196107" w:rsidP="0056196F">
            <w:pPr>
              <w:rPr>
                <w:b/>
                <w:sz w:val="24"/>
                <w:szCs w:val="24"/>
              </w:rPr>
            </w:pPr>
            <w:r>
              <w:rPr>
                <w:b/>
                <w:sz w:val="24"/>
                <w:szCs w:val="24"/>
              </w:rPr>
              <w:t>Anticipated Date</w:t>
            </w:r>
          </w:p>
        </w:tc>
      </w:tr>
      <w:tr w:rsidR="00196107" w:rsidRPr="00BD3279" w:rsidTr="00081D72">
        <w:tc>
          <w:tcPr>
            <w:tcW w:w="2790" w:type="dxa"/>
          </w:tcPr>
          <w:p w:rsidR="00196107" w:rsidRPr="005D53FB" w:rsidRDefault="00196107" w:rsidP="0056196F">
            <w:pPr>
              <w:rPr>
                <w:sz w:val="20"/>
                <w:szCs w:val="20"/>
              </w:rPr>
            </w:pPr>
            <w:r w:rsidRPr="005D53FB">
              <w:rPr>
                <w:i/>
                <w:sz w:val="20"/>
                <w:szCs w:val="20"/>
              </w:rPr>
              <w:t>Quantitative comparison of model performance across several measurement sites within the Dairy CAP research group</w:t>
            </w:r>
          </w:p>
        </w:tc>
        <w:tc>
          <w:tcPr>
            <w:tcW w:w="1712" w:type="dxa"/>
          </w:tcPr>
          <w:p w:rsidR="00196107" w:rsidRPr="005D53FB" w:rsidRDefault="00196107" w:rsidP="0056196F">
            <w:pPr>
              <w:rPr>
                <w:sz w:val="20"/>
                <w:szCs w:val="20"/>
              </w:rPr>
            </w:pPr>
            <w:r w:rsidRPr="005D53FB">
              <w:rPr>
                <w:sz w:val="20"/>
                <w:szCs w:val="20"/>
              </w:rPr>
              <w:t>Jones (Maryland) Gaillard (USDA--DFRC)</w:t>
            </w:r>
            <w:r w:rsidR="00452059" w:rsidRPr="005D53FB">
              <w:rPr>
                <w:sz w:val="20"/>
                <w:szCs w:val="20"/>
              </w:rPr>
              <w:t xml:space="preserve"> take the lead with contribution of the other </w:t>
            </w:r>
            <w:proofErr w:type="spellStart"/>
            <w:r w:rsidR="00452059" w:rsidRPr="005D53FB">
              <w:rPr>
                <w:sz w:val="20"/>
                <w:szCs w:val="20"/>
              </w:rPr>
              <w:t>modellers</w:t>
            </w:r>
            <w:proofErr w:type="spellEnd"/>
            <w:r w:rsidR="00452059" w:rsidRPr="005D53FB">
              <w:rPr>
                <w:sz w:val="20"/>
                <w:szCs w:val="20"/>
              </w:rPr>
              <w:t xml:space="preserve"> + objective leaders</w:t>
            </w:r>
          </w:p>
        </w:tc>
        <w:tc>
          <w:tcPr>
            <w:tcW w:w="2338" w:type="dxa"/>
          </w:tcPr>
          <w:p w:rsidR="00196107" w:rsidRPr="005D53FB" w:rsidRDefault="00196107" w:rsidP="0056196F">
            <w:pPr>
              <w:rPr>
                <w:sz w:val="20"/>
                <w:szCs w:val="20"/>
              </w:rPr>
            </w:pPr>
            <w:r w:rsidRPr="005D53FB">
              <w:rPr>
                <w:sz w:val="20"/>
                <w:szCs w:val="20"/>
              </w:rPr>
              <w:t>APEX, DAYCENT ( and DNDC?) calibrate models for each field site using data provided by the Measurement Team through the Data Repository</w:t>
            </w:r>
          </w:p>
        </w:tc>
        <w:tc>
          <w:tcPr>
            <w:tcW w:w="1350" w:type="dxa"/>
          </w:tcPr>
          <w:p w:rsidR="003172C5" w:rsidRDefault="003172C5" w:rsidP="0056196F">
            <w:pPr>
              <w:rPr>
                <w:sz w:val="20"/>
                <w:szCs w:val="20"/>
              </w:rPr>
            </w:pPr>
          </w:p>
          <w:p w:rsidR="003172C5" w:rsidRDefault="003172C5" w:rsidP="0056196F">
            <w:pPr>
              <w:rPr>
                <w:sz w:val="20"/>
                <w:szCs w:val="20"/>
              </w:rPr>
            </w:pPr>
          </w:p>
          <w:p w:rsidR="003172C5" w:rsidRDefault="003172C5" w:rsidP="0056196F">
            <w:pPr>
              <w:rPr>
                <w:sz w:val="20"/>
                <w:szCs w:val="20"/>
              </w:rPr>
            </w:pPr>
          </w:p>
          <w:p w:rsidR="00196107" w:rsidRPr="005D53FB" w:rsidRDefault="00081D72" w:rsidP="003172C5">
            <w:pPr>
              <w:jc w:val="center"/>
              <w:rPr>
                <w:sz w:val="20"/>
                <w:szCs w:val="20"/>
              </w:rPr>
            </w:pPr>
            <w:r w:rsidRPr="005D53FB">
              <w:rPr>
                <w:sz w:val="20"/>
                <w:szCs w:val="20"/>
              </w:rPr>
              <w:t>?</w:t>
            </w:r>
          </w:p>
        </w:tc>
        <w:tc>
          <w:tcPr>
            <w:tcW w:w="1998" w:type="dxa"/>
          </w:tcPr>
          <w:p w:rsidR="00196107" w:rsidRPr="005D53FB" w:rsidRDefault="00196107" w:rsidP="0056196F">
            <w:pPr>
              <w:rPr>
                <w:b/>
                <w:sz w:val="20"/>
                <w:szCs w:val="20"/>
              </w:rPr>
            </w:pPr>
            <w:r w:rsidRPr="005D53FB">
              <w:rPr>
                <w:sz w:val="20"/>
                <w:szCs w:val="20"/>
              </w:rPr>
              <w:t>Approximately 2-4 weeks for each calibration</w:t>
            </w:r>
            <w:r w:rsidRPr="005D53FB">
              <w:rPr>
                <w:b/>
                <w:sz w:val="20"/>
                <w:szCs w:val="20"/>
              </w:rPr>
              <w:t xml:space="preserve"> </w:t>
            </w:r>
          </w:p>
          <w:p w:rsidR="00196107" w:rsidRPr="005D53FB" w:rsidRDefault="00196107" w:rsidP="0056196F">
            <w:pPr>
              <w:rPr>
                <w:sz w:val="20"/>
                <w:szCs w:val="20"/>
              </w:rPr>
            </w:pPr>
            <w:r w:rsidRPr="005D53FB">
              <w:rPr>
                <w:b/>
                <w:sz w:val="20"/>
                <w:szCs w:val="20"/>
              </w:rPr>
              <w:t>Publication by Jan/Feb 2016 (?)</w:t>
            </w:r>
          </w:p>
        </w:tc>
      </w:tr>
      <w:tr w:rsidR="00196107" w:rsidRPr="00E12B5A" w:rsidTr="00081D72">
        <w:tc>
          <w:tcPr>
            <w:tcW w:w="2790" w:type="dxa"/>
          </w:tcPr>
          <w:p w:rsidR="00196107" w:rsidRPr="005D53FB" w:rsidRDefault="00196107" w:rsidP="0056196F">
            <w:pPr>
              <w:rPr>
                <w:b/>
                <w:sz w:val="20"/>
                <w:szCs w:val="20"/>
                <w:u w:val="single"/>
              </w:rPr>
            </w:pPr>
            <w:r w:rsidRPr="005D53FB">
              <w:rPr>
                <w:i/>
                <w:sz w:val="20"/>
                <w:szCs w:val="20"/>
              </w:rPr>
              <w:t>Qualitative assessment of model performance and recommendations/implications for future model selection</w:t>
            </w:r>
          </w:p>
        </w:tc>
        <w:tc>
          <w:tcPr>
            <w:tcW w:w="1712" w:type="dxa"/>
          </w:tcPr>
          <w:p w:rsidR="00196107" w:rsidRPr="005D53FB" w:rsidRDefault="00196107" w:rsidP="0056196F">
            <w:pPr>
              <w:rPr>
                <w:b/>
                <w:sz w:val="20"/>
                <w:szCs w:val="20"/>
                <w:u w:val="single"/>
              </w:rPr>
            </w:pPr>
            <w:r w:rsidRPr="005D53FB">
              <w:rPr>
                <w:sz w:val="20"/>
                <w:szCs w:val="20"/>
              </w:rPr>
              <w:t>Jones/Gaillard (?)</w:t>
            </w:r>
            <w:r w:rsidR="00452059" w:rsidRPr="005D53FB">
              <w:rPr>
                <w:sz w:val="20"/>
                <w:szCs w:val="20"/>
              </w:rPr>
              <w:t xml:space="preserve">take the lead with contribution of the other </w:t>
            </w:r>
            <w:proofErr w:type="spellStart"/>
            <w:r w:rsidR="00452059" w:rsidRPr="005D53FB">
              <w:rPr>
                <w:sz w:val="20"/>
                <w:szCs w:val="20"/>
              </w:rPr>
              <w:t>modellers</w:t>
            </w:r>
            <w:proofErr w:type="spellEnd"/>
            <w:r w:rsidR="00452059" w:rsidRPr="005D53FB">
              <w:rPr>
                <w:sz w:val="20"/>
                <w:szCs w:val="20"/>
              </w:rPr>
              <w:t xml:space="preserve"> + objective leaders</w:t>
            </w:r>
          </w:p>
        </w:tc>
        <w:tc>
          <w:tcPr>
            <w:tcW w:w="2338" w:type="dxa"/>
          </w:tcPr>
          <w:p w:rsidR="00196107" w:rsidRPr="005D53FB" w:rsidRDefault="00196107" w:rsidP="0056196F">
            <w:pPr>
              <w:rPr>
                <w:b/>
                <w:sz w:val="20"/>
                <w:szCs w:val="20"/>
                <w:u w:val="single"/>
              </w:rPr>
            </w:pPr>
          </w:p>
        </w:tc>
        <w:tc>
          <w:tcPr>
            <w:tcW w:w="1350" w:type="dxa"/>
          </w:tcPr>
          <w:p w:rsidR="003172C5" w:rsidRDefault="003172C5" w:rsidP="003172C5">
            <w:pPr>
              <w:jc w:val="center"/>
              <w:rPr>
                <w:sz w:val="20"/>
                <w:szCs w:val="20"/>
                <w:u w:val="single"/>
              </w:rPr>
            </w:pPr>
          </w:p>
          <w:p w:rsidR="003172C5" w:rsidRDefault="003172C5" w:rsidP="003172C5">
            <w:pPr>
              <w:jc w:val="center"/>
              <w:rPr>
                <w:sz w:val="20"/>
                <w:szCs w:val="20"/>
                <w:u w:val="single"/>
              </w:rPr>
            </w:pPr>
          </w:p>
          <w:p w:rsidR="00196107" w:rsidRPr="003172C5" w:rsidRDefault="00081D72" w:rsidP="003172C5">
            <w:pPr>
              <w:jc w:val="center"/>
              <w:rPr>
                <w:sz w:val="20"/>
                <w:szCs w:val="20"/>
                <w:u w:val="single"/>
              </w:rPr>
            </w:pPr>
            <w:bookmarkStart w:id="0" w:name="_GoBack"/>
            <w:bookmarkEnd w:id="0"/>
            <w:r w:rsidRPr="003172C5">
              <w:rPr>
                <w:sz w:val="20"/>
                <w:szCs w:val="20"/>
                <w:u w:val="single"/>
              </w:rPr>
              <w:t>?</w:t>
            </w:r>
          </w:p>
        </w:tc>
        <w:tc>
          <w:tcPr>
            <w:tcW w:w="1998" w:type="dxa"/>
          </w:tcPr>
          <w:p w:rsidR="00196107" w:rsidRPr="005D53FB" w:rsidRDefault="00196107" w:rsidP="0056196F">
            <w:pPr>
              <w:rPr>
                <w:sz w:val="20"/>
                <w:szCs w:val="20"/>
                <w:u w:val="single"/>
              </w:rPr>
            </w:pPr>
            <w:proofErr w:type="gramStart"/>
            <w:r w:rsidRPr="005D53FB">
              <w:rPr>
                <w:sz w:val="20"/>
                <w:szCs w:val="20"/>
              </w:rPr>
              <w:t>concurrent</w:t>
            </w:r>
            <w:proofErr w:type="gramEnd"/>
            <w:r w:rsidRPr="005D53FB">
              <w:rPr>
                <w:sz w:val="20"/>
                <w:szCs w:val="20"/>
              </w:rPr>
              <w:t xml:space="preserve"> with/subsequent to quantitative comparison</w:t>
            </w:r>
            <w:r w:rsidRPr="005D53FB">
              <w:rPr>
                <w:b/>
                <w:sz w:val="20"/>
                <w:szCs w:val="20"/>
              </w:rPr>
              <w:t xml:space="preserve"> Feb/Mar 2016 (?)</w:t>
            </w:r>
          </w:p>
        </w:tc>
      </w:tr>
    </w:tbl>
    <w:p w:rsidR="00E12B5A" w:rsidRDefault="00E12B5A" w:rsidP="00E12B5A">
      <w:pPr>
        <w:spacing w:after="0" w:line="240" w:lineRule="auto"/>
        <w:rPr>
          <w:b/>
        </w:rPr>
      </w:pPr>
    </w:p>
    <w:p w:rsidR="005F4030" w:rsidRDefault="00AC3CFB" w:rsidP="005F4030">
      <w:pPr>
        <w:pStyle w:val="ListParagraph"/>
        <w:ind w:left="1080"/>
      </w:pPr>
      <w:r>
        <w:rPr>
          <w:noProof/>
        </w:rPr>
        <mc:AlternateContent>
          <mc:Choice Requires="wps">
            <w:drawing>
              <wp:anchor distT="0" distB="0" distL="114300" distR="114300" simplePos="0" relativeHeight="251661312" behindDoc="0" locked="0" layoutInCell="1" allowOverlap="1" wp14:anchorId="21ECF08A" wp14:editId="19D49116">
                <wp:simplePos x="0" y="0"/>
                <wp:positionH relativeFrom="column">
                  <wp:posOffset>-19050</wp:posOffset>
                </wp:positionH>
                <wp:positionV relativeFrom="paragraph">
                  <wp:posOffset>112395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8.85pt" to="49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" strokecolor="#5b9bd5 [3204]" strokeweight=".5pt">
                <v:stroke joinstyle="miter"/>
              </v:line>
            </w:pict>
          </mc:Fallback>
        </mc:AlternateContent>
      </w:r>
    </w:p>
    <w:p w:rsidR="00F027FD" w:rsidRDefault="00F027FD" w:rsidP="005F4030">
      <w:pPr>
        <w:rPr>
          <w:sz w:val="28"/>
          <w:szCs w:val="28"/>
          <w:u w:val="single"/>
        </w:rPr>
      </w:pPr>
      <w:r w:rsidRPr="005F4030">
        <w:rPr>
          <w:b/>
          <w:sz w:val="28"/>
          <w:szCs w:val="28"/>
          <w:u w:val="single"/>
        </w:rPr>
        <w:t>Objective 2b</w:t>
      </w:r>
      <w:r w:rsidRPr="005F4030">
        <w:rPr>
          <w:sz w:val="28"/>
          <w:szCs w:val="28"/>
          <w:u w:val="single"/>
        </w:rPr>
        <w:t>: Identify climate change scenarios and impacts</w:t>
      </w:r>
      <w:r w:rsidR="00EE187E">
        <w:rPr>
          <w:sz w:val="28"/>
          <w:szCs w:val="28"/>
          <w:u w:val="single"/>
        </w:rPr>
        <w:t xml:space="preserve"> </w:t>
      </w:r>
    </w:p>
    <w:tbl>
      <w:tblPr>
        <w:tblStyle w:val="TableGrid"/>
        <w:tblW w:w="10188" w:type="dxa"/>
        <w:tblInd w:w="-162" w:type="dxa"/>
        <w:tblLayout w:type="fixed"/>
        <w:tblLook w:val="04A0" w:firstRow="1" w:lastRow="0" w:firstColumn="1" w:lastColumn="0" w:noHBand="0" w:noVBand="1"/>
      </w:tblPr>
      <w:tblGrid>
        <w:gridCol w:w="2880"/>
        <w:gridCol w:w="1622"/>
        <w:gridCol w:w="2338"/>
        <w:gridCol w:w="1350"/>
        <w:gridCol w:w="1998"/>
      </w:tblGrid>
      <w:tr w:rsidR="00196107" w:rsidRPr="005F6922" w:rsidTr="00196107">
        <w:tc>
          <w:tcPr>
            <w:tcW w:w="2880" w:type="dxa"/>
          </w:tcPr>
          <w:p w:rsidR="00196107" w:rsidRPr="005F6922" w:rsidRDefault="00196107" w:rsidP="0056196F">
            <w:pPr>
              <w:jc w:val="center"/>
              <w:rPr>
                <w:b/>
                <w:sz w:val="24"/>
                <w:szCs w:val="24"/>
              </w:rPr>
            </w:pPr>
            <w:r w:rsidRPr="005F6922">
              <w:rPr>
                <w:b/>
                <w:sz w:val="24"/>
                <w:szCs w:val="24"/>
              </w:rPr>
              <w:t>Title</w:t>
            </w:r>
          </w:p>
        </w:tc>
        <w:tc>
          <w:tcPr>
            <w:tcW w:w="1622" w:type="dxa"/>
          </w:tcPr>
          <w:p w:rsidR="00196107" w:rsidRPr="005F6922" w:rsidRDefault="00196107" w:rsidP="0056196F">
            <w:pPr>
              <w:rPr>
                <w:b/>
                <w:sz w:val="24"/>
                <w:szCs w:val="24"/>
              </w:rPr>
            </w:pPr>
            <w:r w:rsidRPr="005F6922">
              <w:rPr>
                <w:b/>
                <w:sz w:val="24"/>
                <w:szCs w:val="24"/>
              </w:rPr>
              <w:t>Authors</w:t>
            </w:r>
          </w:p>
        </w:tc>
        <w:tc>
          <w:tcPr>
            <w:tcW w:w="2338" w:type="dxa"/>
          </w:tcPr>
          <w:p w:rsidR="00196107" w:rsidRPr="005F6922" w:rsidRDefault="00196107" w:rsidP="0056196F">
            <w:pPr>
              <w:rPr>
                <w:b/>
                <w:sz w:val="24"/>
                <w:szCs w:val="24"/>
              </w:rPr>
            </w:pPr>
            <w:r>
              <w:rPr>
                <w:b/>
                <w:sz w:val="24"/>
                <w:szCs w:val="24"/>
              </w:rPr>
              <w:t>Objective</w:t>
            </w:r>
          </w:p>
        </w:tc>
        <w:tc>
          <w:tcPr>
            <w:tcW w:w="1350" w:type="dxa"/>
          </w:tcPr>
          <w:p w:rsidR="00196107" w:rsidRPr="005F6922" w:rsidRDefault="00196107" w:rsidP="0056196F">
            <w:pPr>
              <w:rPr>
                <w:b/>
                <w:sz w:val="24"/>
                <w:szCs w:val="24"/>
              </w:rPr>
            </w:pPr>
            <w:r>
              <w:rPr>
                <w:b/>
                <w:sz w:val="24"/>
                <w:szCs w:val="24"/>
              </w:rPr>
              <w:t>Journal</w:t>
            </w:r>
          </w:p>
        </w:tc>
        <w:tc>
          <w:tcPr>
            <w:tcW w:w="1998" w:type="dxa"/>
          </w:tcPr>
          <w:p w:rsidR="00196107" w:rsidRPr="005F6922" w:rsidRDefault="00196107" w:rsidP="0056196F">
            <w:pPr>
              <w:rPr>
                <w:b/>
                <w:sz w:val="24"/>
                <w:szCs w:val="24"/>
              </w:rPr>
            </w:pPr>
            <w:r>
              <w:rPr>
                <w:b/>
                <w:sz w:val="24"/>
                <w:szCs w:val="24"/>
              </w:rPr>
              <w:t>Anticipated Date</w:t>
            </w:r>
          </w:p>
        </w:tc>
      </w:tr>
      <w:tr w:rsidR="00196107" w:rsidRPr="00524BE7" w:rsidTr="00196107">
        <w:trPr>
          <w:trHeight w:val="1943"/>
        </w:trPr>
        <w:tc>
          <w:tcPr>
            <w:tcW w:w="2880" w:type="dxa"/>
          </w:tcPr>
          <w:p w:rsidR="00196107" w:rsidRPr="00081D72" w:rsidRDefault="00196107" w:rsidP="0056196F">
            <w:pPr>
              <w:rPr>
                <w:sz w:val="20"/>
                <w:szCs w:val="20"/>
              </w:rPr>
            </w:pPr>
            <w:r w:rsidRPr="00081D72">
              <w:rPr>
                <w:i/>
                <w:sz w:val="20"/>
                <w:szCs w:val="20"/>
              </w:rPr>
              <w:t>Evaluation of system performance under various climate scenarios: implications for future management and mitigation</w:t>
            </w:r>
          </w:p>
        </w:tc>
        <w:tc>
          <w:tcPr>
            <w:tcW w:w="1622" w:type="dxa"/>
          </w:tcPr>
          <w:p w:rsidR="00196107" w:rsidRDefault="00D223F6" w:rsidP="0056196F">
            <w:pPr>
              <w:rPr>
                <w:sz w:val="20"/>
                <w:szCs w:val="20"/>
              </w:rPr>
            </w:pPr>
            <w:r>
              <w:rPr>
                <w:sz w:val="20"/>
                <w:szCs w:val="20"/>
              </w:rPr>
              <w:t>Nicholas and Forest</w:t>
            </w:r>
          </w:p>
          <w:p w:rsidR="00D223F6" w:rsidRPr="00081D72" w:rsidRDefault="00D223F6" w:rsidP="0056196F">
            <w:pPr>
              <w:rPr>
                <w:sz w:val="20"/>
                <w:szCs w:val="20"/>
              </w:rPr>
            </w:pPr>
          </w:p>
        </w:tc>
        <w:tc>
          <w:tcPr>
            <w:tcW w:w="2338" w:type="dxa"/>
          </w:tcPr>
          <w:p w:rsidR="00196107" w:rsidRPr="00081D72" w:rsidRDefault="00196107" w:rsidP="0056196F">
            <w:pPr>
              <w:rPr>
                <w:sz w:val="20"/>
                <w:szCs w:val="20"/>
              </w:rPr>
            </w:pPr>
            <w:r w:rsidRPr="00081D72">
              <w:rPr>
                <w:sz w:val="20"/>
                <w:szCs w:val="20"/>
              </w:rPr>
              <w:t>Simulate systems from validated field studies using future climate scenarios</w:t>
            </w:r>
          </w:p>
          <w:p w:rsidR="00196107" w:rsidRPr="00081D72" w:rsidRDefault="00196107" w:rsidP="00196107">
            <w:pPr>
              <w:pStyle w:val="ListParagraph"/>
              <w:numPr>
                <w:ilvl w:val="0"/>
                <w:numId w:val="8"/>
              </w:numPr>
              <w:ind w:left="160" w:hanging="180"/>
              <w:rPr>
                <w:sz w:val="20"/>
                <w:szCs w:val="20"/>
              </w:rPr>
            </w:pPr>
            <w:r w:rsidRPr="00081D72">
              <w:rPr>
                <w:sz w:val="20"/>
                <w:szCs w:val="20"/>
              </w:rPr>
              <w:t xml:space="preserve">Yield v. GHG </w:t>
            </w:r>
          </w:p>
          <w:p w:rsidR="00196107" w:rsidRPr="00081D72" w:rsidRDefault="00196107" w:rsidP="0056196F">
            <w:pPr>
              <w:pStyle w:val="ListParagraph"/>
              <w:numPr>
                <w:ilvl w:val="0"/>
                <w:numId w:val="8"/>
              </w:numPr>
              <w:ind w:left="160" w:hanging="180"/>
              <w:rPr>
                <w:sz w:val="20"/>
                <w:szCs w:val="20"/>
              </w:rPr>
            </w:pPr>
            <w:r w:rsidRPr="00081D72">
              <w:rPr>
                <w:sz w:val="20"/>
                <w:szCs w:val="20"/>
              </w:rPr>
              <w:t>When/how/why/do systems fail</w:t>
            </w:r>
          </w:p>
        </w:tc>
        <w:tc>
          <w:tcPr>
            <w:tcW w:w="1350" w:type="dxa"/>
          </w:tcPr>
          <w:p w:rsidR="00196107" w:rsidRPr="00081D72" w:rsidRDefault="00196107" w:rsidP="0056196F">
            <w:pPr>
              <w:rPr>
                <w:sz w:val="20"/>
                <w:szCs w:val="20"/>
              </w:rPr>
            </w:pPr>
          </w:p>
        </w:tc>
        <w:tc>
          <w:tcPr>
            <w:tcW w:w="1998" w:type="dxa"/>
          </w:tcPr>
          <w:p w:rsidR="00196107" w:rsidRPr="00081D72" w:rsidRDefault="00196107" w:rsidP="0056196F">
            <w:pPr>
              <w:rPr>
                <w:sz w:val="20"/>
                <w:szCs w:val="20"/>
              </w:rPr>
            </w:pPr>
          </w:p>
        </w:tc>
      </w:tr>
      <w:tr w:rsidR="00196107" w:rsidRPr="00524BE7" w:rsidTr="00196107">
        <w:tc>
          <w:tcPr>
            <w:tcW w:w="2880" w:type="dxa"/>
          </w:tcPr>
          <w:p w:rsidR="00196107" w:rsidRPr="004D6810" w:rsidRDefault="00196107" w:rsidP="00196107">
            <w:pPr>
              <w:rPr>
                <w:i/>
                <w:sz w:val="20"/>
                <w:szCs w:val="20"/>
              </w:rPr>
            </w:pPr>
            <w:r w:rsidRPr="004D6810">
              <w:rPr>
                <w:i/>
                <w:sz w:val="20"/>
                <w:szCs w:val="20"/>
              </w:rPr>
              <w:t xml:space="preserve">Performance of adaptive scenarios under future climate change scenarios </w:t>
            </w:r>
          </w:p>
          <w:p w:rsidR="00196107" w:rsidRPr="00081D72" w:rsidRDefault="00196107" w:rsidP="0056196F">
            <w:pPr>
              <w:rPr>
                <w:i/>
                <w:sz w:val="20"/>
                <w:szCs w:val="20"/>
              </w:rPr>
            </w:pPr>
          </w:p>
        </w:tc>
        <w:tc>
          <w:tcPr>
            <w:tcW w:w="1622" w:type="dxa"/>
          </w:tcPr>
          <w:p w:rsidR="00196107" w:rsidRPr="00081D72" w:rsidRDefault="00196107" w:rsidP="0056196F">
            <w:pPr>
              <w:rPr>
                <w:sz w:val="20"/>
                <w:szCs w:val="20"/>
              </w:rPr>
            </w:pPr>
            <w:r w:rsidRPr="00081D72">
              <w:rPr>
                <w:sz w:val="20"/>
                <w:szCs w:val="20"/>
              </w:rPr>
              <w:t>Forest and Nicholas</w:t>
            </w:r>
          </w:p>
        </w:tc>
        <w:tc>
          <w:tcPr>
            <w:tcW w:w="2338" w:type="dxa"/>
          </w:tcPr>
          <w:p w:rsidR="00196107" w:rsidRPr="00081D72" w:rsidRDefault="00196107" w:rsidP="0056196F">
            <w:pPr>
              <w:rPr>
                <w:sz w:val="20"/>
                <w:szCs w:val="20"/>
              </w:rPr>
            </w:pPr>
            <w:r w:rsidRPr="00081D72">
              <w:rPr>
                <w:sz w:val="20"/>
                <w:szCs w:val="20"/>
              </w:rPr>
              <w:t>Develop mitigation/</w:t>
            </w:r>
            <w:r w:rsidR="00081D72">
              <w:rPr>
                <w:sz w:val="20"/>
                <w:szCs w:val="20"/>
              </w:rPr>
              <w:t xml:space="preserve"> </w:t>
            </w:r>
            <w:r w:rsidRPr="00081D72">
              <w:rPr>
                <w:sz w:val="20"/>
                <w:szCs w:val="20"/>
              </w:rPr>
              <w:t xml:space="preserve">adaptation scenarios using evaluation from above </w:t>
            </w:r>
            <w:r w:rsidR="00081D72">
              <w:rPr>
                <w:sz w:val="20"/>
                <w:szCs w:val="20"/>
              </w:rPr>
              <w:t>(</w:t>
            </w:r>
            <w:r w:rsidRPr="00081D72">
              <w:rPr>
                <w:sz w:val="20"/>
                <w:szCs w:val="20"/>
              </w:rPr>
              <w:t>via Forest) and stakeholder input</w:t>
            </w:r>
          </w:p>
        </w:tc>
        <w:tc>
          <w:tcPr>
            <w:tcW w:w="1350" w:type="dxa"/>
          </w:tcPr>
          <w:p w:rsidR="00196107" w:rsidRPr="00081D72" w:rsidRDefault="00196107" w:rsidP="0056196F">
            <w:pPr>
              <w:rPr>
                <w:sz w:val="20"/>
                <w:szCs w:val="20"/>
              </w:rPr>
            </w:pPr>
          </w:p>
        </w:tc>
        <w:tc>
          <w:tcPr>
            <w:tcW w:w="1998" w:type="dxa"/>
          </w:tcPr>
          <w:p w:rsidR="00196107" w:rsidRPr="00081D72" w:rsidRDefault="00196107" w:rsidP="0056196F">
            <w:pPr>
              <w:rPr>
                <w:sz w:val="20"/>
                <w:szCs w:val="20"/>
              </w:rPr>
            </w:pPr>
            <w:r w:rsidRPr="00081D72">
              <w:rPr>
                <w:sz w:val="20"/>
                <w:szCs w:val="20"/>
              </w:rPr>
              <w:t>Year 4</w:t>
            </w:r>
          </w:p>
        </w:tc>
      </w:tr>
      <w:tr w:rsidR="00196107" w:rsidRPr="00524BE7" w:rsidTr="00196107">
        <w:tc>
          <w:tcPr>
            <w:tcW w:w="2880" w:type="dxa"/>
          </w:tcPr>
          <w:p w:rsidR="00196107" w:rsidRPr="00081D72" w:rsidRDefault="00196107" w:rsidP="0056196F">
            <w:pPr>
              <w:rPr>
                <w:i/>
                <w:sz w:val="20"/>
                <w:szCs w:val="20"/>
              </w:rPr>
            </w:pPr>
            <w:r w:rsidRPr="00081D72">
              <w:rPr>
                <w:sz w:val="20"/>
                <w:szCs w:val="20"/>
              </w:rPr>
              <w:t>Stakeholder participation in developing adaptive dairy management for climate change scenarios</w:t>
            </w:r>
          </w:p>
        </w:tc>
        <w:tc>
          <w:tcPr>
            <w:tcW w:w="1622" w:type="dxa"/>
          </w:tcPr>
          <w:p w:rsidR="00196107" w:rsidRPr="00081D72" w:rsidRDefault="00196107" w:rsidP="0056196F">
            <w:pPr>
              <w:rPr>
                <w:sz w:val="20"/>
                <w:szCs w:val="20"/>
              </w:rPr>
            </w:pPr>
            <w:r w:rsidRPr="00081D72">
              <w:rPr>
                <w:sz w:val="20"/>
                <w:szCs w:val="20"/>
              </w:rPr>
              <w:t>Gaillard; others</w:t>
            </w:r>
          </w:p>
        </w:tc>
        <w:tc>
          <w:tcPr>
            <w:tcW w:w="2338" w:type="dxa"/>
          </w:tcPr>
          <w:p w:rsidR="00196107" w:rsidRPr="00081D72" w:rsidRDefault="00452059" w:rsidP="0056196F">
            <w:pPr>
              <w:rPr>
                <w:sz w:val="20"/>
                <w:szCs w:val="20"/>
              </w:rPr>
            </w:pPr>
            <w:r>
              <w:rPr>
                <w:sz w:val="20"/>
                <w:szCs w:val="20"/>
              </w:rPr>
              <w:t>Input to 2</w:t>
            </w:r>
            <w:r w:rsidRPr="00452059">
              <w:rPr>
                <w:sz w:val="20"/>
                <w:szCs w:val="20"/>
                <w:vertAlign w:val="superscript"/>
              </w:rPr>
              <w:t>nd</w:t>
            </w:r>
            <w:r>
              <w:rPr>
                <w:sz w:val="20"/>
                <w:szCs w:val="20"/>
              </w:rPr>
              <w:t xml:space="preserve"> Wisconsin paper</w:t>
            </w:r>
          </w:p>
        </w:tc>
        <w:tc>
          <w:tcPr>
            <w:tcW w:w="1350" w:type="dxa"/>
          </w:tcPr>
          <w:p w:rsidR="00196107" w:rsidRPr="00081D72" w:rsidRDefault="00196107" w:rsidP="0056196F">
            <w:pPr>
              <w:rPr>
                <w:sz w:val="20"/>
                <w:szCs w:val="20"/>
              </w:rPr>
            </w:pPr>
          </w:p>
        </w:tc>
        <w:tc>
          <w:tcPr>
            <w:tcW w:w="1998" w:type="dxa"/>
          </w:tcPr>
          <w:p w:rsidR="00196107" w:rsidRPr="00081D72" w:rsidRDefault="00196107" w:rsidP="0056196F">
            <w:pPr>
              <w:rPr>
                <w:sz w:val="20"/>
                <w:szCs w:val="20"/>
              </w:rPr>
            </w:pPr>
          </w:p>
        </w:tc>
      </w:tr>
    </w:tbl>
    <w:p w:rsidR="001A689B" w:rsidRDefault="001A689B" w:rsidP="00196107"/>
    <w:p w:rsidR="00AC3CFB" w:rsidRDefault="00AC3CFB" w:rsidP="000432B6">
      <w:pPr>
        <w:pStyle w:val="ListParagraph"/>
      </w:pPr>
    </w:p>
    <w:p w:rsidR="00D223F6" w:rsidRDefault="00D223F6">
      <w:pPr>
        <w:rPr>
          <w:b/>
          <w:sz w:val="28"/>
          <w:szCs w:val="28"/>
          <w:u w:val="single"/>
        </w:rPr>
      </w:pPr>
      <w:r>
        <w:rPr>
          <w:b/>
          <w:sz w:val="28"/>
          <w:szCs w:val="28"/>
          <w:u w:val="single"/>
        </w:rPr>
        <w:br w:type="page"/>
      </w:r>
    </w:p>
    <w:p w:rsidR="00EE187E" w:rsidRDefault="001A689B" w:rsidP="00EE187E">
      <w:r w:rsidRPr="00B003A9">
        <w:rPr>
          <w:b/>
          <w:sz w:val="28"/>
          <w:szCs w:val="28"/>
          <w:u w:val="single"/>
        </w:rPr>
        <w:lastRenderedPageBreak/>
        <w:t>Objective 2c</w:t>
      </w:r>
      <w:r w:rsidRPr="00B003A9">
        <w:rPr>
          <w:sz w:val="28"/>
          <w:szCs w:val="28"/>
          <w:u w:val="single"/>
        </w:rPr>
        <w:t>: Integration with LCA</w:t>
      </w:r>
      <w:r w:rsidR="00EE187E">
        <w:rPr>
          <w:sz w:val="28"/>
          <w:szCs w:val="28"/>
          <w:u w:val="single"/>
        </w:rPr>
        <w:t xml:space="preserve"> - </w:t>
      </w:r>
      <w:r w:rsidR="00EE187E">
        <w:t>(2c) re-parameterized models according to LCA needs</w:t>
      </w:r>
    </w:p>
    <w:tbl>
      <w:tblPr>
        <w:tblStyle w:val="TableGrid"/>
        <w:tblW w:w="10188" w:type="dxa"/>
        <w:tblInd w:w="-162" w:type="dxa"/>
        <w:tblLayout w:type="fixed"/>
        <w:tblLook w:val="04A0" w:firstRow="1" w:lastRow="0" w:firstColumn="1" w:lastColumn="0" w:noHBand="0" w:noVBand="1"/>
      </w:tblPr>
      <w:tblGrid>
        <w:gridCol w:w="2880"/>
        <w:gridCol w:w="1622"/>
        <w:gridCol w:w="2338"/>
        <w:gridCol w:w="1350"/>
        <w:gridCol w:w="1998"/>
      </w:tblGrid>
      <w:tr w:rsidR="001E136F" w:rsidRPr="005F6922" w:rsidTr="0056196F">
        <w:tc>
          <w:tcPr>
            <w:tcW w:w="2880" w:type="dxa"/>
          </w:tcPr>
          <w:p w:rsidR="001E136F" w:rsidRPr="005F6922" w:rsidRDefault="001E136F" w:rsidP="0056196F">
            <w:pPr>
              <w:jc w:val="center"/>
              <w:rPr>
                <w:b/>
                <w:sz w:val="24"/>
                <w:szCs w:val="24"/>
              </w:rPr>
            </w:pPr>
            <w:r w:rsidRPr="005F6922">
              <w:rPr>
                <w:b/>
                <w:sz w:val="24"/>
                <w:szCs w:val="24"/>
              </w:rPr>
              <w:t>Title</w:t>
            </w:r>
          </w:p>
        </w:tc>
        <w:tc>
          <w:tcPr>
            <w:tcW w:w="1622" w:type="dxa"/>
          </w:tcPr>
          <w:p w:rsidR="001E136F" w:rsidRPr="005F6922" w:rsidRDefault="001E136F" w:rsidP="0056196F">
            <w:pPr>
              <w:rPr>
                <w:b/>
                <w:sz w:val="24"/>
                <w:szCs w:val="24"/>
              </w:rPr>
            </w:pPr>
            <w:r w:rsidRPr="005F6922">
              <w:rPr>
                <w:b/>
                <w:sz w:val="24"/>
                <w:szCs w:val="24"/>
              </w:rPr>
              <w:t>Authors</w:t>
            </w:r>
          </w:p>
        </w:tc>
        <w:tc>
          <w:tcPr>
            <w:tcW w:w="2338" w:type="dxa"/>
          </w:tcPr>
          <w:p w:rsidR="001E136F" w:rsidRPr="005F6922" w:rsidRDefault="001E136F" w:rsidP="0056196F">
            <w:pPr>
              <w:rPr>
                <w:b/>
                <w:sz w:val="24"/>
                <w:szCs w:val="24"/>
              </w:rPr>
            </w:pPr>
            <w:r>
              <w:rPr>
                <w:b/>
                <w:sz w:val="24"/>
                <w:szCs w:val="24"/>
              </w:rPr>
              <w:t>Objective</w:t>
            </w:r>
          </w:p>
        </w:tc>
        <w:tc>
          <w:tcPr>
            <w:tcW w:w="1350" w:type="dxa"/>
          </w:tcPr>
          <w:p w:rsidR="001E136F" w:rsidRPr="005F6922" w:rsidRDefault="001E136F" w:rsidP="0056196F">
            <w:pPr>
              <w:rPr>
                <w:b/>
                <w:sz w:val="24"/>
                <w:szCs w:val="24"/>
              </w:rPr>
            </w:pPr>
            <w:r>
              <w:rPr>
                <w:b/>
                <w:sz w:val="24"/>
                <w:szCs w:val="24"/>
              </w:rPr>
              <w:t>Journal</w:t>
            </w:r>
          </w:p>
        </w:tc>
        <w:tc>
          <w:tcPr>
            <w:tcW w:w="1998" w:type="dxa"/>
          </w:tcPr>
          <w:p w:rsidR="001E136F" w:rsidRPr="005F6922" w:rsidRDefault="001E136F" w:rsidP="0056196F">
            <w:pPr>
              <w:rPr>
                <w:b/>
                <w:sz w:val="24"/>
                <w:szCs w:val="24"/>
              </w:rPr>
            </w:pPr>
            <w:r>
              <w:rPr>
                <w:b/>
                <w:sz w:val="24"/>
                <w:szCs w:val="24"/>
              </w:rPr>
              <w:t>Anticipated Date</w:t>
            </w:r>
          </w:p>
        </w:tc>
      </w:tr>
      <w:tr w:rsidR="001E136F" w:rsidRPr="004E7B25" w:rsidTr="001E136F">
        <w:trPr>
          <w:trHeight w:val="593"/>
        </w:trPr>
        <w:tc>
          <w:tcPr>
            <w:tcW w:w="2880" w:type="dxa"/>
          </w:tcPr>
          <w:p w:rsidR="001E136F" w:rsidRPr="00524BE7" w:rsidRDefault="004E7B25" w:rsidP="00452059">
            <w:pPr>
              <w:rPr>
                <w:sz w:val="18"/>
                <w:szCs w:val="18"/>
              </w:rPr>
            </w:pPr>
            <w:r>
              <w:rPr>
                <w:sz w:val="18"/>
                <w:szCs w:val="18"/>
              </w:rPr>
              <w:t xml:space="preserve">Process-based Life Cycle Analysis of </w:t>
            </w:r>
            <w:r w:rsidR="00452059">
              <w:rPr>
                <w:sz w:val="18"/>
                <w:szCs w:val="18"/>
              </w:rPr>
              <w:t>the</w:t>
            </w:r>
            <w:r>
              <w:rPr>
                <w:sz w:val="18"/>
                <w:szCs w:val="18"/>
              </w:rPr>
              <w:t xml:space="preserve"> dairy </w:t>
            </w:r>
            <w:r w:rsidR="00452059">
              <w:rPr>
                <w:sz w:val="18"/>
                <w:szCs w:val="18"/>
              </w:rPr>
              <w:t xml:space="preserve">Twin Birch </w:t>
            </w:r>
            <w:r>
              <w:rPr>
                <w:sz w:val="18"/>
                <w:szCs w:val="18"/>
              </w:rPr>
              <w:t>farm</w:t>
            </w:r>
          </w:p>
        </w:tc>
        <w:tc>
          <w:tcPr>
            <w:tcW w:w="1622" w:type="dxa"/>
          </w:tcPr>
          <w:p w:rsidR="001E136F" w:rsidRPr="00524BE7" w:rsidRDefault="004E7B25" w:rsidP="0056196F">
            <w:pPr>
              <w:rPr>
                <w:sz w:val="18"/>
                <w:szCs w:val="18"/>
              </w:rPr>
            </w:pPr>
            <w:r>
              <w:rPr>
                <w:sz w:val="18"/>
                <w:szCs w:val="18"/>
              </w:rPr>
              <w:t>in collaboration with the LCA team</w:t>
            </w:r>
          </w:p>
        </w:tc>
        <w:tc>
          <w:tcPr>
            <w:tcW w:w="2338" w:type="dxa"/>
          </w:tcPr>
          <w:p w:rsidR="001E136F" w:rsidRDefault="004E7B25" w:rsidP="004E7B25">
            <w:pPr>
              <w:rPr>
                <w:sz w:val="18"/>
                <w:szCs w:val="18"/>
              </w:rPr>
            </w:pPr>
            <w:r w:rsidRPr="004E7B25">
              <w:rPr>
                <w:sz w:val="18"/>
                <w:szCs w:val="18"/>
              </w:rPr>
              <w:t>G</w:t>
            </w:r>
            <w:r w:rsidR="001E136F" w:rsidRPr="004E7B25">
              <w:rPr>
                <w:sz w:val="18"/>
                <w:szCs w:val="18"/>
              </w:rPr>
              <w:t xml:space="preserve">enerating </w:t>
            </w:r>
            <w:r w:rsidRPr="004E7B25">
              <w:rPr>
                <w:sz w:val="18"/>
                <w:szCs w:val="18"/>
              </w:rPr>
              <w:t xml:space="preserve">input </w:t>
            </w:r>
            <w:r w:rsidR="001E136F" w:rsidRPr="004E7B25">
              <w:rPr>
                <w:sz w:val="18"/>
                <w:szCs w:val="18"/>
              </w:rPr>
              <w:t>data</w:t>
            </w:r>
            <w:r w:rsidRPr="004E7B25">
              <w:rPr>
                <w:sz w:val="18"/>
                <w:szCs w:val="18"/>
              </w:rPr>
              <w:t xml:space="preserve"> from the process model comparison</w:t>
            </w:r>
            <w:r>
              <w:rPr>
                <w:sz w:val="18"/>
                <w:szCs w:val="18"/>
              </w:rPr>
              <w:t>, taking IFSM as a baseline and other model to determine ranges</w:t>
            </w:r>
            <w:r w:rsidR="00BD3279">
              <w:rPr>
                <w:sz w:val="18"/>
                <w:szCs w:val="18"/>
              </w:rPr>
              <w:t xml:space="preserve"> in GHG and nutrient related emissions</w:t>
            </w:r>
          </w:p>
          <w:p w:rsidR="00BD3279" w:rsidRDefault="00BD3279" w:rsidP="004E7B25">
            <w:pPr>
              <w:rPr>
                <w:sz w:val="18"/>
                <w:szCs w:val="18"/>
              </w:rPr>
            </w:pPr>
          </w:p>
          <w:p w:rsidR="00BD3279" w:rsidRDefault="00BD3279" w:rsidP="004E7B25">
            <w:pPr>
              <w:rPr>
                <w:sz w:val="18"/>
                <w:szCs w:val="18"/>
              </w:rPr>
            </w:pPr>
            <w:r>
              <w:rPr>
                <w:sz w:val="18"/>
                <w:szCs w:val="18"/>
              </w:rPr>
              <w:t xml:space="preserve">Short term </w:t>
            </w:r>
            <w:r w:rsidRPr="00BD3279">
              <w:rPr>
                <w:sz w:val="18"/>
                <w:szCs w:val="18"/>
              </w:rPr>
              <w:sym w:font="Wingdings" w:char="F0E0"/>
            </w:r>
            <w:r>
              <w:rPr>
                <w:sz w:val="18"/>
                <w:szCs w:val="18"/>
              </w:rPr>
              <w:t xml:space="preserve"> provide Twin Birch input and output data to LCA team (Karin Veltman + Olivier Jolliet)</w:t>
            </w:r>
          </w:p>
          <w:p w:rsidR="00BD3279" w:rsidRDefault="00BD3279" w:rsidP="004E7B25">
            <w:pPr>
              <w:rPr>
                <w:sz w:val="18"/>
                <w:szCs w:val="18"/>
              </w:rPr>
            </w:pPr>
          </w:p>
          <w:p w:rsidR="00BD3279" w:rsidRPr="004E7B25" w:rsidRDefault="00BD3279" w:rsidP="004E7B25">
            <w:pPr>
              <w:rPr>
                <w:sz w:val="18"/>
                <w:szCs w:val="18"/>
              </w:rPr>
            </w:pPr>
            <w:r>
              <w:rPr>
                <w:sz w:val="18"/>
                <w:szCs w:val="18"/>
              </w:rPr>
              <w:t xml:space="preserve">End 2015 </w:t>
            </w:r>
            <w:r w:rsidRPr="00BD3279">
              <w:rPr>
                <w:sz w:val="18"/>
                <w:szCs w:val="18"/>
              </w:rPr>
              <w:sym w:font="Wingdings" w:char="F0E0"/>
            </w:r>
            <w:r>
              <w:rPr>
                <w:sz w:val="18"/>
                <w:szCs w:val="18"/>
              </w:rPr>
              <w:t xml:space="preserve"> also provide the variations in emissions associated with BMPs</w:t>
            </w:r>
          </w:p>
        </w:tc>
        <w:tc>
          <w:tcPr>
            <w:tcW w:w="1350" w:type="dxa"/>
          </w:tcPr>
          <w:p w:rsidR="001E136F" w:rsidRPr="00524BE7" w:rsidRDefault="004E7B25" w:rsidP="0056196F">
            <w:pPr>
              <w:rPr>
                <w:sz w:val="18"/>
                <w:szCs w:val="18"/>
              </w:rPr>
            </w:pPr>
            <w:proofErr w:type="spellStart"/>
            <w:r>
              <w:rPr>
                <w:sz w:val="18"/>
                <w:szCs w:val="18"/>
              </w:rPr>
              <w:t>Int</w:t>
            </w:r>
            <w:proofErr w:type="spellEnd"/>
            <w:r>
              <w:rPr>
                <w:sz w:val="18"/>
                <w:szCs w:val="18"/>
              </w:rPr>
              <w:t xml:space="preserve"> J. of LCA?</w:t>
            </w:r>
          </w:p>
        </w:tc>
        <w:tc>
          <w:tcPr>
            <w:tcW w:w="1998" w:type="dxa"/>
          </w:tcPr>
          <w:p w:rsidR="001E136F" w:rsidRPr="00524BE7" w:rsidRDefault="004E7B25" w:rsidP="0056196F">
            <w:pPr>
              <w:rPr>
                <w:sz w:val="18"/>
                <w:szCs w:val="18"/>
              </w:rPr>
            </w:pPr>
            <w:r>
              <w:rPr>
                <w:sz w:val="18"/>
                <w:szCs w:val="18"/>
              </w:rPr>
              <w:t>12/2015</w:t>
            </w:r>
          </w:p>
        </w:tc>
      </w:tr>
      <w:tr w:rsidR="00BD3279" w:rsidRPr="004E7B25" w:rsidTr="001E136F">
        <w:trPr>
          <w:trHeight w:val="620"/>
        </w:trPr>
        <w:tc>
          <w:tcPr>
            <w:tcW w:w="2880" w:type="dxa"/>
          </w:tcPr>
          <w:p w:rsidR="00BD3279" w:rsidRPr="004E7B25" w:rsidRDefault="00BD3279" w:rsidP="00BD3279">
            <w:pPr>
              <w:rPr>
                <w:sz w:val="18"/>
                <w:szCs w:val="18"/>
              </w:rPr>
            </w:pPr>
            <w:r>
              <w:rPr>
                <w:sz w:val="18"/>
                <w:szCs w:val="18"/>
              </w:rPr>
              <w:t>Process-based Life Cycle Analysis of milk production in Wisconsin</w:t>
            </w:r>
          </w:p>
        </w:tc>
        <w:tc>
          <w:tcPr>
            <w:tcW w:w="1622" w:type="dxa"/>
          </w:tcPr>
          <w:p w:rsidR="00BD3279" w:rsidRPr="00524BE7" w:rsidRDefault="00BD3279" w:rsidP="008F7B5A">
            <w:pPr>
              <w:rPr>
                <w:sz w:val="18"/>
                <w:szCs w:val="18"/>
              </w:rPr>
            </w:pPr>
            <w:r>
              <w:rPr>
                <w:sz w:val="18"/>
                <w:szCs w:val="18"/>
              </w:rPr>
              <w:t>in collaboration with the LCA team</w:t>
            </w:r>
          </w:p>
        </w:tc>
        <w:tc>
          <w:tcPr>
            <w:tcW w:w="2338" w:type="dxa"/>
          </w:tcPr>
          <w:p w:rsidR="00BD3279" w:rsidRDefault="00BD3279" w:rsidP="00BD3279">
            <w:pPr>
              <w:rPr>
                <w:sz w:val="18"/>
                <w:szCs w:val="18"/>
              </w:rPr>
            </w:pPr>
            <w:r>
              <w:rPr>
                <w:sz w:val="18"/>
                <w:szCs w:val="18"/>
              </w:rPr>
              <w:t>Take output of the Wisconsin model comparison at regional level to determine ranges in GHG and nutrient related emissions at state level</w:t>
            </w:r>
          </w:p>
          <w:p w:rsidR="00BD3279" w:rsidRPr="004E7B25" w:rsidRDefault="00BD3279" w:rsidP="0056196F">
            <w:pPr>
              <w:rPr>
                <w:sz w:val="18"/>
                <w:szCs w:val="18"/>
              </w:rPr>
            </w:pPr>
          </w:p>
        </w:tc>
        <w:tc>
          <w:tcPr>
            <w:tcW w:w="1350" w:type="dxa"/>
          </w:tcPr>
          <w:p w:rsidR="00BD3279" w:rsidRPr="00524BE7" w:rsidRDefault="00BD3279" w:rsidP="0056196F">
            <w:pPr>
              <w:rPr>
                <w:sz w:val="18"/>
                <w:szCs w:val="18"/>
              </w:rPr>
            </w:pPr>
          </w:p>
        </w:tc>
        <w:tc>
          <w:tcPr>
            <w:tcW w:w="1998" w:type="dxa"/>
          </w:tcPr>
          <w:p w:rsidR="00BD3279" w:rsidRPr="00524BE7" w:rsidRDefault="00BD3279" w:rsidP="0056196F">
            <w:pPr>
              <w:rPr>
                <w:sz w:val="18"/>
                <w:szCs w:val="18"/>
              </w:rPr>
            </w:pPr>
          </w:p>
        </w:tc>
      </w:tr>
      <w:tr w:rsidR="00BD3279" w:rsidRPr="004E7B25" w:rsidTr="001E136F">
        <w:trPr>
          <w:trHeight w:val="980"/>
        </w:trPr>
        <w:tc>
          <w:tcPr>
            <w:tcW w:w="2880" w:type="dxa"/>
          </w:tcPr>
          <w:p w:rsidR="00BD3279" w:rsidRPr="004E7B25" w:rsidRDefault="00BD3279" w:rsidP="0056196F">
            <w:pPr>
              <w:rPr>
                <w:sz w:val="18"/>
                <w:szCs w:val="18"/>
              </w:rPr>
            </w:pPr>
            <w:r w:rsidRPr="004E7B25">
              <w:rPr>
                <w:sz w:val="18"/>
                <w:szCs w:val="18"/>
              </w:rPr>
              <w:t>Evaluate and improve regional benchmarks integrated into LCA impact assessment</w:t>
            </w:r>
          </w:p>
        </w:tc>
        <w:tc>
          <w:tcPr>
            <w:tcW w:w="1622" w:type="dxa"/>
          </w:tcPr>
          <w:p w:rsidR="00BD3279" w:rsidRPr="00524BE7" w:rsidRDefault="00BD3279" w:rsidP="0056196F">
            <w:pPr>
              <w:rPr>
                <w:sz w:val="18"/>
                <w:szCs w:val="18"/>
              </w:rPr>
            </w:pPr>
          </w:p>
        </w:tc>
        <w:tc>
          <w:tcPr>
            <w:tcW w:w="2338" w:type="dxa"/>
          </w:tcPr>
          <w:p w:rsidR="00BD3279" w:rsidRPr="004E7B25" w:rsidRDefault="00BD3279" w:rsidP="00BD3279">
            <w:pPr>
              <w:rPr>
                <w:sz w:val="18"/>
                <w:szCs w:val="18"/>
              </w:rPr>
            </w:pPr>
            <w:r>
              <w:rPr>
                <w:sz w:val="18"/>
                <w:szCs w:val="18"/>
              </w:rPr>
              <w:t xml:space="preserve">LCA evaluation based on the mitigation and adaptation scenario analysis for Wisconsin </w:t>
            </w:r>
          </w:p>
        </w:tc>
        <w:tc>
          <w:tcPr>
            <w:tcW w:w="1350" w:type="dxa"/>
          </w:tcPr>
          <w:p w:rsidR="00BD3279" w:rsidRPr="00524BE7" w:rsidRDefault="00BD3279" w:rsidP="0056196F">
            <w:pPr>
              <w:rPr>
                <w:sz w:val="18"/>
                <w:szCs w:val="18"/>
              </w:rPr>
            </w:pPr>
          </w:p>
        </w:tc>
        <w:tc>
          <w:tcPr>
            <w:tcW w:w="1998" w:type="dxa"/>
          </w:tcPr>
          <w:p w:rsidR="00BD3279" w:rsidRPr="00524BE7" w:rsidRDefault="00BD3279" w:rsidP="0056196F">
            <w:pPr>
              <w:rPr>
                <w:sz w:val="18"/>
                <w:szCs w:val="18"/>
              </w:rPr>
            </w:pPr>
          </w:p>
        </w:tc>
      </w:tr>
    </w:tbl>
    <w:p w:rsidR="009D1AEF" w:rsidRDefault="009D1AEF" w:rsidP="001E136F">
      <w:pPr>
        <w:spacing w:after="0" w:line="240" w:lineRule="auto"/>
      </w:pPr>
    </w:p>
    <w:sectPr w:rsidR="009D1AEF" w:rsidSect="00EE187E">
      <w:footerReference w:type="default" r:id="rId8"/>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CF9" w:rsidRDefault="00664CF9" w:rsidP="00EC58C3">
      <w:pPr>
        <w:spacing w:after="0" w:line="240" w:lineRule="auto"/>
      </w:pPr>
      <w:r>
        <w:separator/>
      </w:r>
    </w:p>
  </w:endnote>
  <w:endnote w:type="continuationSeparator" w:id="0">
    <w:p w:rsidR="00664CF9" w:rsidRDefault="00664CF9" w:rsidP="00EC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436070"/>
      <w:docPartObj>
        <w:docPartGallery w:val="Page Numbers (Bottom of Page)"/>
        <w:docPartUnique/>
      </w:docPartObj>
    </w:sdtPr>
    <w:sdtEndPr>
      <w:rPr>
        <w:noProof/>
      </w:rPr>
    </w:sdtEndPr>
    <w:sdtContent>
      <w:p w:rsidR="00EE187E" w:rsidRDefault="00EE187E">
        <w:pPr>
          <w:pStyle w:val="Footer"/>
          <w:jc w:val="center"/>
        </w:pPr>
        <w:r>
          <w:fldChar w:fldCharType="begin"/>
        </w:r>
        <w:r>
          <w:instrText xml:space="preserve"> PAGE   \* MERGEFORMAT </w:instrText>
        </w:r>
        <w:r>
          <w:fldChar w:fldCharType="separate"/>
        </w:r>
        <w:r w:rsidR="003172C5">
          <w:rPr>
            <w:noProof/>
          </w:rPr>
          <w:t>1</w:t>
        </w:r>
        <w:r>
          <w:rPr>
            <w:noProof/>
          </w:rPr>
          <w:fldChar w:fldCharType="end"/>
        </w:r>
      </w:p>
    </w:sdtContent>
  </w:sdt>
  <w:p w:rsidR="00EE187E" w:rsidRDefault="00EE1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CF9" w:rsidRDefault="00664CF9" w:rsidP="00EC58C3">
      <w:pPr>
        <w:spacing w:after="0" w:line="240" w:lineRule="auto"/>
      </w:pPr>
      <w:r>
        <w:separator/>
      </w:r>
    </w:p>
  </w:footnote>
  <w:footnote w:type="continuationSeparator" w:id="0">
    <w:p w:rsidR="00664CF9" w:rsidRDefault="00664CF9" w:rsidP="00EC5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5042"/>
    <w:multiLevelType w:val="hybridMultilevel"/>
    <w:tmpl w:val="690C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04EAB"/>
    <w:multiLevelType w:val="hybridMultilevel"/>
    <w:tmpl w:val="717AD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F7BB4"/>
    <w:multiLevelType w:val="hybridMultilevel"/>
    <w:tmpl w:val="F420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71D3B"/>
    <w:multiLevelType w:val="hybridMultilevel"/>
    <w:tmpl w:val="2C9A73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6DFF30FF"/>
    <w:multiLevelType w:val="hybridMultilevel"/>
    <w:tmpl w:val="E656F002"/>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5">
    <w:nsid w:val="7352652E"/>
    <w:multiLevelType w:val="hybridMultilevel"/>
    <w:tmpl w:val="73F6FF8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start w:val="1"/>
      <w:numFmt w:val="lowerLetter"/>
      <w:lvlText w:val="%5."/>
      <w:lvlJc w:val="left"/>
      <w:pPr>
        <w:ind w:left="108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9451A2"/>
    <w:multiLevelType w:val="hybridMultilevel"/>
    <w:tmpl w:val="09382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30A47"/>
    <w:multiLevelType w:val="hybridMultilevel"/>
    <w:tmpl w:val="C9E00E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7"/>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9E"/>
    <w:rsid w:val="000057D3"/>
    <w:rsid w:val="000432B6"/>
    <w:rsid w:val="00074409"/>
    <w:rsid w:val="00081D72"/>
    <w:rsid w:val="000A52AC"/>
    <w:rsid w:val="00196107"/>
    <w:rsid w:val="001A689B"/>
    <w:rsid w:val="001E136F"/>
    <w:rsid w:val="00225434"/>
    <w:rsid w:val="00227F9E"/>
    <w:rsid w:val="003172C5"/>
    <w:rsid w:val="00382186"/>
    <w:rsid w:val="003B7431"/>
    <w:rsid w:val="00415F70"/>
    <w:rsid w:val="00452059"/>
    <w:rsid w:val="00452B1D"/>
    <w:rsid w:val="00461DDB"/>
    <w:rsid w:val="00464B9D"/>
    <w:rsid w:val="004B04D5"/>
    <w:rsid w:val="004D6810"/>
    <w:rsid w:val="004E7B25"/>
    <w:rsid w:val="00524BE7"/>
    <w:rsid w:val="00560FA4"/>
    <w:rsid w:val="0059121F"/>
    <w:rsid w:val="005D53FB"/>
    <w:rsid w:val="005E6B00"/>
    <w:rsid w:val="005F4030"/>
    <w:rsid w:val="005F6922"/>
    <w:rsid w:val="00654310"/>
    <w:rsid w:val="00664CF9"/>
    <w:rsid w:val="006E20A4"/>
    <w:rsid w:val="007A6817"/>
    <w:rsid w:val="00810866"/>
    <w:rsid w:val="0087298D"/>
    <w:rsid w:val="00957243"/>
    <w:rsid w:val="009D1AEF"/>
    <w:rsid w:val="00AC3CFB"/>
    <w:rsid w:val="00AE4D82"/>
    <w:rsid w:val="00B003A9"/>
    <w:rsid w:val="00B91C47"/>
    <w:rsid w:val="00BD3279"/>
    <w:rsid w:val="00C56685"/>
    <w:rsid w:val="00C9641E"/>
    <w:rsid w:val="00C970D0"/>
    <w:rsid w:val="00CB7938"/>
    <w:rsid w:val="00CC3C7B"/>
    <w:rsid w:val="00CD7790"/>
    <w:rsid w:val="00D0796B"/>
    <w:rsid w:val="00D223F6"/>
    <w:rsid w:val="00DA55ED"/>
    <w:rsid w:val="00DB57D1"/>
    <w:rsid w:val="00E06046"/>
    <w:rsid w:val="00E12B5A"/>
    <w:rsid w:val="00E946E4"/>
    <w:rsid w:val="00EB12F3"/>
    <w:rsid w:val="00EC58C3"/>
    <w:rsid w:val="00EE187E"/>
    <w:rsid w:val="00EE5A3F"/>
    <w:rsid w:val="00F027FD"/>
    <w:rsid w:val="00F068B2"/>
    <w:rsid w:val="00F9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9E"/>
    <w:pPr>
      <w:ind w:left="720"/>
      <w:contextualSpacing/>
    </w:pPr>
  </w:style>
  <w:style w:type="paragraph" w:styleId="Header">
    <w:name w:val="header"/>
    <w:basedOn w:val="Normal"/>
    <w:link w:val="HeaderChar"/>
    <w:uiPriority w:val="99"/>
    <w:unhideWhenUsed/>
    <w:rsid w:val="00EC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C3"/>
  </w:style>
  <w:style w:type="paragraph" w:styleId="Footer">
    <w:name w:val="footer"/>
    <w:basedOn w:val="Normal"/>
    <w:link w:val="FooterChar"/>
    <w:uiPriority w:val="99"/>
    <w:unhideWhenUsed/>
    <w:rsid w:val="00EC5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C3"/>
  </w:style>
  <w:style w:type="paragraph" w:styleId="PlainText">
    <w:name w:val="Plain Text"/>
    <w:basedOn w:val="Normal"/>
    <w:link w:val="PlainTextChar"/>
    <w:uiPriority w:val="99"/>
    <w:unhideWhenUsed/>
    <w:rsid w:val="00074409"/>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074409"/>
    <w:rPr>
      <w:rFonts w:ascii="Calibri" w:eastAsia="Calibri" w:hAnsi="Calibri" w:cs="Calibri"/>
    </w:rPr>
  </w:style>
  <w:style w:type="paragraph" w:styleId="BalloonText">
    <w:name w:val="Balloon Text"/>
    <w:basedOn w:val="Normal"/>
    <w:link w:val="BalloonTextChar"/>
    <w:uiPriority w:val="99"/>
    <w:semiHidden/>
    <w:unhideWhenUsed/>
    <w:rsid w:val="00461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DB"/>
    <w:rPr>
      <w:rFonts w:ascii="Tahoma" w:hAnsi="Tahoma" w:cs="Tahoma"/>
      <w:sz w:val="16"/>
      <w:szCs w:val="16"/>
    </w:rPr>
  </w:style>
  <w:style w:type="table" w:styleId="TableGrid">
    <w:name w:val="Table Grid"/>
    <w:basedOn w:val="TableNormal"/>
    <w:uiPriority w:val="39"/>
    <w:rsid w:val="00415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E136F"/>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E136F"/>
    <w:rPr>
      <w:rFonts w:ascii="Times New Roman" w:eastAsia="Times New Roman" w:hAnsi="Times New Roman"/>
      <w:sz w:val="24"/>
      <w:szCs w:val="24"/>
    </w:rPr>
  </w:style>
  <w:style w:type="character" w:styleId="Hyperlink">
    <w:name w:val="Hyperlink"/>
    <w:basedOn w:val="DefaultParagraphFont"/>
    <w:uiPriority w:val="99"/>
    <w:unhideWhenUsed/>
    <w:rsid w:val="00081D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9E"/>
    <w:pPr>
      <w:ind w:left="720"/>
      <w:contextualSpacing/>
    </w:pPr>
  </w:style>
  <w:style w:type="paragraph" w:styleId="Header">
    <w:name w:val="header"/>
    <w:basedOn w:val="Normal"/>
    <w:link w:val="HeaderChar"/>
    <w:uiPriority w:val="99"/>
    <w:unhideWhenUsed/>
    <w:rsid w:val="00EC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C3"/>
  </w:style>
  <w:style w:type="paragraph" w:styleId="Footer">
    <w:name w:val="footer"/>
    <w:basedOn w:val="Normal"/>
    <w:link w:val="FooterChar"/>
    <w:uiPriority w:val="99"/>
    <w:unhideWhenUsed/>
    <w:rsid w:val="00EC5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C3"/>
  </w:style>
  <w:style w:type="paragraph" w:styleId="PlainText">
    <w:name w:val="Plain Text"/>
    <w:basedOn w:val="Normal"/>
    <w:link w:val="PlainTextChar"/>
    <w:uiPriority w:val="99"/>
    <w:unhideWhenUsed/>
    <w:rsid w:val="00074409"/>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074409"/>
    <w:rPr>
      <w:rFonts w:ascii="Calibri" w:eastAsia="Calibri" w:hAnsi="Calibri" w:cs="Calibri"/>
    </w:rPr>
  </w:style>
  <w:style w:type="paragraph" w:styleId="BalloonText">
    <w:name w:val="Balloon Text"/>
    <w:basedOn w:val="Normal"/>
    <w:link w:val="BalloonTextChar"/>
    <w:uiPriority w:val="99"/>
    <w:semiHidden/>
    <w:unhideWhenUsed/>
    <w:rsid w:val="00461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DB"/>
    <w:rPr>
      <w:rFonts w:ascii="Tahoma" w:hAnsi="Tahoma" w:cs="Tahoma"/>
      <w:sz w:val="16"/>
      <w:szCs w:val="16"/>
    </w:rPr>
  </w:style>
  <w:style w:type="table" w:styleId="TableGrid">
    <w:name w:val="Table Grid"/>
    <w:basedOn w:val="TableNormal"/>
    <w:uiPriority w:val="39"/>
    <w:rsid w:val="00415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E136F"/>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E136F"/>
    <w:rPr>
      <w:rFonts w:ascii="Times New Roman" w:eastAsia="Times New Roman" w:hAnsi="Times New Roman"/>
      <w:sz w:val="24"/>
      <w:szCs w:val="24"/>
    </w:rPr>
  </w:style>
  <w:style w:type="character" w:styleId="Hyperlink">
    <w:name w:val="Hyperlink"/>
    <w:basedOn w:val="DefaultParagraphFont"/>
    <w:uiPriority w:val="99"/>
    <w:unhideWhenUsed/>
    <w:rsid w:val="00081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884">
      <w:bodyDiv w:val="1"/>
      <w:marLeft w:val="0"/>
      <w:marRight w:val="0"/>
      <w:marTop w:val="0"/>
      <w:marBottom w:val="0"/>
      <w:divBdr>
        <w:top w:val="none" w:sz="0" w:space="0" w:color="auto"/>
        <w:left w:val="none" w:sz="0" w:space="0" w:color="auto"/>
        <w:bottom w:val="none" w:sz="0" w:space="0" w:color="auto"/>
        <w:right w:val="none" w:sz="0" w:space="0" w:color="auto"/>
      </w:divBdr>
    </w:div>
    <w:div w:id="996034774">
      <w:bodyDiv w:val="1"/>
      <w:marLeft w:val="0"/>
      <w:marRight w:val="0"/>
      <w:marTop w:val="0"/>
      <w:marBottom w:val="0"/>
      <w:divBdr>
        <w:top w:val="none" w:sz="0" w:space="0" w:color="auto"/>
        <w:left w:val="none" w:sz="0" w:space="0" w:color="auto"/>
        <w:bottom w:val="none" w:sz="0" w:space="0" w:color="auto"/>
        <w:right w:val="none" w:sz="0" w:space="0" w:color="auto"/>
      </w:divBdr>
    </w:div>
    <w:div w:id="1209729374">
      <w:bodyDiv w:val="1"/>
      <w:marLeft w:val="0"/>
      <w:marRight w:val="0"/>
      <w:marTop w:val="0"/>
      <w:marBottom w:val="0"/>
      <w:divBdr>
        <w:top w:val="none" w:sz="0" w:space="0" w:color="auto"/>
        <w:left w:val="none" w:sz="0" w:space="0" w:color="auto"/>
        <w:bottom w:val="none" w:sz="0" w:space="0" w:color="auto"/>
        <w:right w:val="none" w:sz="0" w:space="0" w:color="auto"/>
      </w:divBdr>
    </w:div>
    <w:div w:id="1344628929">
      <w:bodyDiv w:val="1"/>
      <w:marLeft w:val="0"/>
      <w:marRight w:val="0"/>
      <w:marTop w:val="0"/>
      <w:marBottom w:val="0"/>
      <w:divBdr>
        <w:top w:val="none" w:sz="0" w:space="0" w:color="auto"/>
        <w:left w:val="none" w:sz="0" w:space="0" w:color="auto"/>
        <w:bottom w:val="none" w:sz="0" w:space="0" w:color="auto"/>
        <w:right w:val="none" w:sz="0" w:space="0" w:color="auto"/>
      </w:divBdr>
    </w:div>
    <w:div w:id="1756171346">
      <w:bodyDiv w:val="1"/>
      <w:marLeft w:val="0"/>
      <w:marRight w:val="0"/>
      <w:marTop w:val="0"/>
      <w:marBottom w:val="0"/>
      <w:divBdr>
        <w:top w:val="none" w:sz="0" w:space="0" w:color="auto"/>
        <w:left w:val="none" w:sz="0" w:space="0" w:color="auto"/>
        <w:bottom w:val="none" w:sz="0" w:space="0" w:color="auto"/>
        <w:right w:val="none" w:sz="0" w:space="0" w:color="auto"/>
      </w:divBdr>
    </w:div>
    <w:div w:id="1782649254">
      <w:bodyDiv w:val="1"/>
      <w:marLeft w:val="0"/>
      <w:marRight w:val="0"/>
      <w:marTop w:val="0"/>
      <w:marBottom w:val="0"/>
      <w:divBdr>
        <w:top w:val="none" w:sz="0" w:space="0" w:color="auto"/>
        <w:left w:val="none" w:sz="0" w:space="0" w:color="auto"/>
        <w:bottom w:val="none" w:sz="0" w:space="0" w:color="auto"/>
        <w:right w:val="none" w:sz="0" w:space="0" w:color="auto"/>
      </w:divBdr>
    </w:div>
    <w:div w:id="201133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AC500A1DD71E4C914A837F1E7DD891" ma:contentTypeVersion="1" ma:contentTypeDescription="Create a new document." ma:contentTypeScope="" ma:versionID="f130678e0362fea6e678ab278b1076d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2F10DA-31C4-4690-9414-E8DAD9B0F27B}"/>
</file>

<file path=customXml/itemProps2.xml><?xml version="1.0" encoding="utf-8"?>
<ds:datastoreItem xmlns:ds="http://schemas.openxmlformats.org/officeDocument/2006/customXml" ds:itemID="{8502A66C-983A-4FD3-8FEE-7846494B5ABA}"/>
</file>

<file path=customXml/itemProps3.xml><?xml version="1.0" encoding="utf-8"?>
<ds:datastoreItem xmlns:ds="http://schemas.openxmlformats.org/officeDocument/2006/customXml" ds:itemID="{78F74197-9D9D-42D0-A399-B48402123D9C}"/>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Publications for Obj. 2</dc:title>
  <dc:creator>Richard Gaillard</dc:creator>
  <cp:lastModifiedBy>Carolyn</cp:lastModifiedBy>
  <cp:revision>2</cp:revision>
  <cp:lastPrinted>2015-06-01T20:28:00Z</cp:lastPrinted>
  <dcterms:created xsi:type="dcterms:W3CDTF">2015-10-13T16:59:00Z</dcterms:created>
  <dcterms:modified xsi:type="dcterms:W3CDTF">2015-10-13T16:59:00Z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0x0101002EAC500A1DD71E4C914A837F1E7DD891</vt:lpwstr>
  </property>
</Properties>
</file>